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54F82">
      <w:pPr>
        <w:tabs>
          <w:tab w:val="left" w:pos="9240"/>
        </w:tabs>
        <w:spacing w:line="360" w:lineRule="auto"/>
        <w:ind w:right="176" w:rightChars="84"/>
        <w:jc w:val="both"/>
        <w:rPr>
          <w:rFonts w:hint="eastAsia" w:ascii="方正小标宋_GBK" w:hAnsi="方正小标宋_GBK" w:eastAsia="方正小标宋_GBK" w:cs="方正小标宋_GBK"/>
          <w:bCs/>
          <w:color w:val="auto"/>
          <w:sz w:val="84"/>
          <w:szCs w:val="21"/>
          <w:highlight w:val="none"/>
          <w:lang w:val="en-US" w:eastAsia="zh-CN"/>
        </w:rPr>
      </w:pPr>
      <w:r>
        <w:rPr>
          <w:rFonts w:hint="eastAsia" w:ascii="方正小标宋_GBK" w:hAnsi="方正小标宋_GBK" w:eastAsia="方正小标宋_GBK" w:cs="方正小标宋_GBK"/>
          <w:bCs/>
          <w:color w:val="auto"/>
          <w:sz w:val="84"/>
          <w:szCs w:val="21"/>
          <w:highlight w:val="none"/>
          <w:lang w:val="en-US" w:eastAsia="zh-CN"/>
        </w:rPr>
        <w:t xml:space="preserve"> </w:t>
      </w:r>
    </w:p>
    <w:p w14:paraId="118CF8C2">
      <w:pPr>
        <w:tabs>
          <w:tab w:val="left" w:pos="9240"/>
        </w:tabs>
        <w:spacing w:line="360" w:lineRule="auto"/>
        <w:ind w:right="176" w:rightChars="84"/>
        <w:jc w:val="center"/>
        <w:rPr>
          <w:rFonts w:ascii="宋体" w:hAnsi="宋体" w:eastAsia="宋体" w:cs="方正小标宋_GBK"/>
          <w:bCs/>
          <w:color w:val="auto"/>
          <w:sz w:val="84"/>
          <w:szCs w:val="21"/>
          <w:highlight w:val="none"/>
        </w:rPr>
      </w:pPr>
    </w:p>
    <w:p w14:paraId="094F1AA0">
      <w:pPr>
        <w:tabs>
          <w:tab w:val="left" w:pos="9240"/>
        </w:tabs>
        <w:spacing w:line="360" w:lineRule="auto"/>
        <w:ind w:right="176" w:rightChars="84"/>
        <w:jc w:val="center"/>
        <w:rPr>
          <w:rFonts w:ascii="宋体" w:hAnsi="宋体" w:eastAsia="宋体" w:cs="方正小标宋_GBK"/>
          <w:bCs/>
          <w:color w:val="auto"/>
          <w:sz w:val="84"/>
          <w:szCs w:val="21"/>
          <w:highlight w:val="none"/>
        </w:rPr>
      </w:pPr>
      <w:r>
        <w:rPr>
          <w:rFonts w:hint="eastAsia" w:ascii="宋体" w:hAnsi="宋体" w:eastAsia="宋体" w:cs="方正小标宋_GBK"/>
          <w:bCs/>
          <w:color w:val="auto"/>
          <w:sz w:val="84"/>
          <w:szCs w:val="21"/>
          <w:highlight w:val="none"/>
        </w:rPr>
        <w:t>招 标 文 件</w:t>
      </w:r>
    </w:p>
    <w:p w14:paraId="74BF8FA8">
      <w:pPr>
        <w:tabs>
          <w:tab w:val="left" w:pos="9240"/>
        </w:tabs>
        <w:spacing w:line="360" w:lineRule="auto"/>
        <w:ind w:right="176" w:rightChars="84"/>
        <w:rPr>
          <w:rFonts w:ascii="宋体" w:hAnsi="宋体" w:eastAsia="宋体" w:cs="Times New Roman"/>
          <w:color w:val="auto"/>
          <w:sz w:val="32"/>
          <w:szCs w:val="21"/>
          <w:highlight w:val="none"/>
        </w:rPr>
      </w:pPr>
    </w:p>
    <w:p w14:paraId="6BF1DD8F">
      <w:pPr>
        <w:tabs>
          <w:tab w:val="left" w:pos="9240"/>
        </w:tabs>
        <w:spacing w:line="360" w:lineRule="auto"/>
        <w:ind w:right="176" w:rightChars="84"/>
        <w:jc w:val="center"/>
        <w:rPr>
          <w:rFonts w:ascii="宋体" w:hAnsi="宋体" w:eastAsia="宋体" w:cs="Times New Roman"/>
          <w:color w:val="auto"/>
          <w:sz w:val="32"/>
          <w:szCs w:val="21"/>
          <w:highlight w:val="none"/>
        </w:rPr>
      </w:pPr>
    </w:p>
    <w:p w14:paraId="7DC87AB5">
      <w:pPr>
        <w:tabs>
          <w:tab w:val="left" w:pos="9240"/>
        </w:tabs>
        <w:spacing w:line="360" w:lineRule="auto"/>
        <w:ind w:right="176" w:rightChars="84"/>
        <w:jc w:val="center"/>
        <w:rPr>
          <w:rFonts w:ascii="宋体" w:hAnsi="宋体" w:eastAsia="宋体" w:cs="Times New Roman"/>
          <w:color w:val="auto"/>
          <w:sz w:val="32"/>
          <w:szCs w:val="21"/>
          <w:highlight w:val="none"/>
        </w:rPr>
      </w:pPr>
    </w:p>
    <w:p w14:paraId="4A8EB40B">
      <w:pPr>
        <w:tabs>
          <w:tab w:val="left" w:pos="9240"/>
        </w:tabs>
        <w:spacing w:line="480" w:lineRule="exact"/>
        <w:ind w:right="176" w:rightChars="84"/>
        <w:rPr>
          <w:rFonts w:ascii="宋体" w:hAnsi="宋体" w:eastAsia="宋体" w:cs="Times New Roman"/>
          <w:color w:val="auto"/>
          <w:sz w:val="24"/>
          <w:highlight w:val="none"/>
        </w:rPr>
      </w:pPr>
    </w:p>
    <w:p w14:paraId="3F6F271F">
      <w:pPr>
        <w:tabs>
          <w:tab w:val="left" w:pos="9240"/>
        </w:tabs>
        <w:spacing w:line="360" w:lineRule="auto"/>
        <w:ind w:right="176" w:rightChars="84"/>
        <w:jc w:val="center"/>
        <w:rPr>
          <w:rFonts w:ascii="宋体" w:hAnsi="宋体" w:eastAsia="宋体" w:cs="Times New Roman"/>
          <w:b/>
          <w:color w:val="auto"/>
          <w:sz w:val="32"/>
          <w:szCs w:val="21"/>
          <w:highlight w:val="none"/>
        </w:rPr>
      </w:pPr>
    </w:p>
    <w:p w14:paraId="0AC5AB10">
      <w:pPr>
        <w:tabs>
          <w:tab w:val="left" w:pos="9240"/>
        </w:tabs>
        <w:spacing w:line="480" w:lineRule="exact"/>
        <w:ind w:right="176" w:rightChars="84"/>
        <w:rPr>
          <w:rFonts w:ascii="宋体" w:hAnsi="宋体" w:eastAsia="宋体" w:cs="Times New Roman"/>
          <w:color w:val="auto"/>
          <w:sz w:val="24"/>
          <w:highlight w:val="none"/>
        </w:rPr>
      </w:pPr>
    </w:p>
    <w:p w14:paraId="44B53A88">
      <w:pPr>
        <w:tabs>
          <w:tab w:val="left" w:pos="9240"/>
        </w:tabs>
        <w:spacing w:line="360" w:lineRule="auto"/>
        <w:ind w:right="176" w:rightChars="84"/>
        <w:jc w:val="center"/>
        <w:rPr>
          <w:rFonts w:ascii="宋体" w:hAnsi="宋体" w:eastAsia="宋体" w:cs="宋体"/>
          <w:color w:val="auto"/>
          <w:sz w:val="40"/>
          <w:szCs w:val="36"/>
          <w:highlight w:val="none"/>
        </w:rPr>
      </w:pPr>
      <w:r>
        <w:rPr>
          <w:rFonts w:hint="eastAsia" w:ascii="宋体" w:hAnsi="宋体" w:eastAsia="宋体" w:cs="Times New Roman"/>
          <w:color w:val="auto"/>
          <w:sz w:val="40"/>
          <w:szCs w:val="36"/>
          <w:highlight w:val="none"/>
        </w:rPr>
        <w:t>项</w:t>
      </w:r>
      <w:r>
        <w:rPr>
          <w:rFonts w:hint="eastAsia" w:ascii="宋体" w:hAnsi="宋体" w:eastAsia="宋体" w:cs="宋体"/>
          <w:color w:val="auto"/>
          <w:sz w:val="40"/>
          <w:szCs w:val="36"/>
          <w:highlight w:val="none"/>
        </w:rPr>
        <w:t>目名称：</w:t>
      </w:r>
    </w:p>
    <w:p w14:paraId="5714E35A">
      <w:pPr>
        <w:tabs>
          <w:tab w:val="left" w:pos="9240"/>
        </w:tabs>
        <w:spacing w:line="360" w:lineRule="auto"/>
        <w:ind w:right="176" w:rightChars="84"/>
        <w:jc w:val="center"/>
        <w:rPr>
          <w:rFonts w:hint="eastAsia" w:ascii="宋体" w:hAnsi="宋体" w:eastAsia="宋体" w:cs="Times New Roman"/>
          <w:color w:val="auto"/>
          <w:sz w:val="36"/>
          <w:szCs w:val="30"/>
          <w:highlight w:val="none"/>
          <w:lang w:eastAsia="zh-CN"/>
        </w:rPr>
      </w:pPr>
      <w:r>
        <w:rPr>
          <w:rFonts w:hint="eastAsia" w:ascii="宋体" w:hAnsi="宋体" w:eastAsia="宋体" w:cs="Times New Roman"/>
          <w:color w:val="auto"/>
          <w:sz w:val="36"/>
          <w:szCs w:val="30"/>
          <w:highlight w:val="none"/>
          <w:lang w:eastAsia="zh-CN"/>
        </w:rPr>
        <w:t>智慧公安-“农村道路交通安全提升工程”建设项目</w:t>
      </w:r>
    </w:p>
    <w:p w14:paraId="2EDCC984">
      <w:pPr>
        <w:tabs>
          <w:tab w:val="left" w:pos="9240"/>
        </w:tabs>
        <w:spacing w:line="360" w:lineRule="auto"/>
        <w:ind w:right="176" w:rightChars="84"/>
        <w:jc w:val="center"/>
        <w:rPr>
          <w:rFonts w:hint="eastAsia" w:ascii="宋体" w:hAnsi="宋体" w:eastAsia="宋体" w:cs="Times New Roman"/>
          <w:color w:val="auto"/>
          <w:sz w:val="36"/>
          <w:szCs w:val="30"/>
          <w:highlight w:val="none"/>
          <w:lang w:eastAsia="zh-CN"/>
        </w:rPr>
      </w:pPr>
      <w:r>
        <w:rPr>
          <w:rFonts w:hint="eastAsia" w:ascii="宋体" w:hAnsi="宋体" w:eastAsia="宋体" w:cs="Times New Roman"/>
          <w:color w:val="auto"/>
          <w:sz w:val="36"/>
          <w:szCs w:val="30"/>
          <w:highlight w:val="none"/>
          <w:lang w:eastAsia="zh-CN"/>
        </w:rPr>
        <w:t>(路口视野整治项目）</w:t>
      </w:r>
    </w:p>
    <w:p w14:paraId="4A8F51C0">
      <w:pPr>
        <w:tabs>
          <w:tab w:val="left" w:pos="9240"/>
        </w:tabs>
        <w:spacing w:line="360" w:lineRule="auto"/>
        <w:ind w:right="176" w:rightChars="84"/>
        <w:rPr>
          <w:rFonts w:ascii="宋体" w:hAnsi="宋体" w:eastAsia="宋体" w:cs="Times New Roman"/>
          <w:b/>
          <w:color w:val="auto"/>
          <w:sz w:val="32"/>
          <w:szCs w:val="21"/>
          <w:highlight w:val="none"/>
        </w:rPr>
      </w:pPr>
    </w:p>
    <w:p w14:paraId="5432F6DF">
      <w:pPr>
        <w:tabs>
          <w:tab w:val="left" w:pos="9240"/>
        </w:tabs>
        <w:spacing w:line="360" w:lineRule="auto"/>
        <w:ind w:right="176" w:rightChars="84"/>
        <w:rPr>
          <w:rFonts w:ascii="宋体" w:hAnsi="宋体" w:eastAsia="宋体" w:cs="Times New Roman"/>
          <w:b/>
          <w:color w:val="auto"/>
          <w:sz w:val="32"/>
          <w:szCs w:val="21"/>
          <w:highlight w:val="none"/>
        </w:rPr>
      </w:pPr>
    </w:p>
    <w:p w14:paraId="12C3C087">
      <w:pPr>
        <w:tabs>
          <w:tab w:val="left" w:pos="9240"/>
        </w:tabs>
        <w:spacing w:line="360" w:lineRule="auto"/>
        <w:ind w:right="176" w:rightChars="84"/>
        <w:rPr>
          <w:rFonts w:ascii="宋体" w:hAnsi="宋体" w:eastAsia="宋体" w:cs="Times New Roman"/>
          <w:b/>
          <w:color w:val="auto"/>
          <w:sz w:val="32"/>
          <w:szCs w:val="21"/>
          <w:highlight w:val="none"/>
        </w:rPr>
      </w:pPr>
    </w:p>
    <w:p w14:paraId="6E731583">
      <w:pPr>
        <w:tabs>
          <w:tab w:val="left" w:pos="9240"/>
        </w:tabs>
        <w:spacing w:line="360" w:lineRule="auto"/>
        <w:ind w:right="176" w:rightChars="84"/>
        <w:jc w:val="center"/>
        <w:rPr>
          <w:rFonts w:ascii="宋体" w:hAnsi="宋体" w:eastAsia="宋体" w:cs="Times New Roman"/>
          <w:bCs/>
          <w:color w:val="auto"/>
          <w:sz w:val="36"/>
          <w:szCs w:val="36"/>
          <w:highlight w:val="none"/>
        </w:rPr>
      </w:pPr>
      <w:r>
        <w:rPr>
          <w:rFonts w:hint="eastAsia" w:ascii="宋体" w:hAnsi="宋体" w:eastAsia="宋体" w:cs="黑体"/>
          <w:bCs/>
          <w:color w:val="auto"/>
          <w:spacing w:val="15"/>
          <w:sz w:val="36"/>
          <w:szCs w:val="36"/>
          <w:highlight w:val="none"/>
        </w:rPr>
        <w:t>（盐城市公安局大丰分局）</w:t>
      </w:r>
    </w:p>
    <w:p w14:paraId="4F50580C">
      <w:pPr>
        <w:tabs>
          <w:tab w:val="left" w:pos="9240"/>
        </w:tabs>
        <w:spacing w:line="360" w:lineRule="auto"/>
        <w:ind w:right="176" w:rightChars="84"/>
        <w:jc w:val="center"/>
        <w:rPr>
          <w:rFonts w:ascii="宋体" w:hAnsi="宋体" w:eastAsia="宋体" w:cs="Times New Roman"/>
          <w:color w:val="auto"/>
          <w:sz w:val="36"/>
          <w:szCs w:val="36"/>
          <w:highlight w:val="none"/>
        </w:rPr>
      </w:pPr>
      <w:r>
        <w:rPr>
          <w:rFonts w:hint="eastAsia" w:ascii="宋体" w:hAnsi="宋体" w:eastAsia="宋体" w:cs="Times New Roman"/>
          <w:color w:val="auto"/>
          <w:sz w:val="36"/>
          <w:szCs w:val="36"/>
          <w:highlight w:val="none"/>
        </w:rPr>
        <w:t>202</w:t>
      </w:r>
      <w:r>
        <w:rPr>
          <w:rFonts w:hint="eastAsia" w:ascii="宋体" w:hAnsi="宋体" w:eastAsia="宋体" w:cs="Times New Roman"/>
          <w:color w:val="auto"/>
          <w:sz w:val="36"/>
          <w:szCs w:val="36"/>
          <w:highlight w:val="none"/>
          <w:lang w:val="en-US" w:eastAsia="zh-CN"/>
        </w:rPr>
        <w:t>6</w:t>
      </w:r>
      <w:r>
        <w:rPr>
          <w:rFonts w:hint="eastAsia" w:ascii="宋体" w:hAnsi="宋体" w:eastAsia="宋体" w:cs="Times New Roman"/>
          <w:color w:val="auto"/>
          <w:sz w:val="36"/>
          <w:szCs w:val="36"/>
          <w:highlight w:val="none"/>
        </w:rPr>
        <w:t>年</w:t>
      </w:r>
      <w:r>
        <w:rPr>
          <w:rFonts w:hint="eastAsia" w:ascii="宋体" w:hAnsi="宋体" w:eastAsia="宋体" w:cs="Times New Roman"/>
          <w:color w:val="auto"/>
          <w:sz w:val="36"/>
          <w:szCs w:val="36"/>
          <w:highlight w:val="none"/>
          <w:lang w:val="en-US" w:eastAsia="zh-CN"/>
        </w:rPr>
        <w:t>1</w:t>
      </w:r>
      <w:r>
        <w:rPr>
          <w:rFonts w:hint="eastAsia" w:ascii="宋体" w:hAnsi="宋体" w:eastAsia="宋体" w:cs="Times New Roman"/>
          <w:color w:val="auto"/>
          <w:sz w:val="36"/>
          <w:szCs w:val="36"/>
          <w:highlight w:val="none"/>
        </w:rPr>
        <w:t>月</w:t>
      </w:r>
    </w:p>
    <w:p w14:paraId="7898BBD3">
      <w:pPr>
        <w:tabs>
          <w:tab w:val="left" w:pos="9240"/>
        </w:tabs>
        <w:spacing w:line="360" w:lineRule="auto"/>
        <w:ind w:right="176" w:rightChars="84"/>
        <w:jc w:val="center"/>
        <w:rPr>
          <w:rFonts w:ascii="宋体" w:hAnsi="宋体" w:eastAsia="宋体" w:cs="Times New Roman"/>
          <w:color w:val="auto"/>
          <w:sz w:val="36"/>
          <w:szCs w:val="36"/>
          <w:highlight w:val="none"/>
        </w:rPr>
      </w:pPr>
    </w:p>
    <w:p w14:paraId="07316D35">
      <w:pPr>
        <w:pStyle w:val="30"/>
        <w:tabs>
          <w:tab w:val="left" w:pos="9240"/>
        </w:tabs>
        <w:spacing w:beforeAutospacing="0" w:afterAutospacing="0" w:line="480" w:lineRule="auto"/>
        <w:ind w:right="176" w:rightChars="84" w:firstLine="420"/>
        <w:jc w:val="center"/>
        <w:rPr>
          <w:rFonts w:asciiTheme="minorEastAsia" w:hAnsiTheme="minorEastAsia"/>
          <w:color w:val="auto"/>
          <w:highlight w:val="none"/>
        </w:rPr>
      </w:pPr>
      <w:r>
        <w:rPr>
          <w:rFonts w:asciiTheme="minorEastAsia" w:hAnsiTheme="minorEastAsia"/>
          <w:color w:val="auto"/>
          <w:sz w:val="21"/>
          <w:szCs w:val="21"/>
          <w:highlight w:val="none"/>
        </w:rPr>
        <w:t> </w:t>
      </w:r>
      <w:bookmarkStart w:id="0" w:name="_Toc523127445"/>
      <w:bookmarkStart w:id="1" w:name="_Toc513029200"/>
      <w:bookmarkStart w:id="2" w:name="_Toc20823272"/>
      <w:bookmarkStart w:id="3" w:name="_Toc120614210"/>
      <w:bookmarkStart w:id="4" w:name="_Toc479757206"/>
      <w:bookmarkStart w:id="5" w:name="_Toc16938516"/>
      <w:r>
        <w:rPr>
          <w:rFonts w:cs="黑体" w:asciiTheme="minorEastAsia" w:hAnsiTheme="minorEastAsia"/>
          <w:b/>
          <w:color w:val="auto"/>
          <w:sz w:val="44"/>
          <w:szCs w:val="44"/>
          <w:highlight w:val="none"/>
        </w:rPr>
        <w:t>总  目  录</w:t>
      </w:r>
      <w:bookmarkEnd w:id="0"/>
      <w:bookmarkEnd w:id="1"/>
      <w:bookmarkEnd w:id="2"/>
      <w:bookmarkEnd w:id="3"/>
      <w:bookmarkEnd w:id="4"/>
      <w:bookmarkEnd w:id="5"/>
    </w:p>
    <w:p w14:paraId="71D1D470">
      <w:pPr>
        <w:pStyle w:val="30"/>
        <w:tabs>
          <w:tab w:val="left" w:pos="9240"/>
        </w:tabs>
        <w:spacing w:beforeAutospacing="0" w:afterAutospacing="0" w:line="480" w:lineRule="auto"/>
        <w:ind w:right="176" w:rightChars="84"/>
        <w:jc w:val="both"/>
        <w:rPr>
          <w:rFonts w:asciiTheme="minorEastAsia" w:hAnsiTheme="minorEastAsia"/>
          <w:color w:val="auto"/>
          <w:highlight w:val="none"/>
        </w:rPr>
      </w:pPr>
      <w:r>
        <w:rPr>
          <w:rFonts w:asciiTheme="minorEastAsia" w:hAnsiTheme="minorEastAsia"/>
          <w:color w:val="auto"/>
          <w:highlight w:val="none"/>
        </w:rPr>
        <w:t> </w:t>
      </w:r>
    </w:p>
    <w:p w14:paraId="6DDAC71D">
      <w:pPr>
        <w:pStyle w:val="30"/>
        <w:tabs>
          <w:tab w:val="left" w:pos="1441"/>
          <w:tab w:val="left" w:pos="9240"/>
        </w:tabs>
        <w:spacing w:beforeAutospacing="0" w:afterAutospacing="0" w:line="480" w:lineRule="auto"/>
        <w:ind w:right="176" w:rightChars="84" w:firstLine="640"/>
        <w:jc w:val="both"/>
        <w:rPr>
          <w:rFonts w:hint="eastAsia" w:asciiTheme="minorEastAsia" w:hAnsiTheme="minorEastAsia" w:eastAsiaTheme="minorEastAsia"/>
          <w:color w:val="auto"/>
          <w:sz w:val="22"/>
          <w:highlight w:val="none"/>
          <w:lang w:eastAsia="zh-CN"/>
        </w:rPr>
      </w:pPr>
      <w:r>
        <w:rPr>
          <w:rFonts w:hint="eastAsia" w:cs="黑体" w:asciiTheme="minorEastAsia" w:hAnsiTheme="minorEastAsia"/>
          <w:color w:val="auto"/>
          <w:sz w:val="32"/>
          <w:szCs w:val="36"/>
          <w:highlight w:val="none"/>
        </w:rPr>
        <w:t>招标公告………………………………………………</w:t>
      </w:r>
      <w:r>
        <w:rPr>
          <w:rFonts w:hint="eastAsia" w:cs="黑体" w:asciiTheme="minorEastAsia" w:hAnsiTheme="minorEastAsia"/>
          <w:color w:val="auto"/>
          <w:sz w:val="32"/>
          <w:szCs w:val="36"/>
          <w:highlight w:val="none"/>
          <w:lang w:val="en-US" w:eastAsia="zh-CN"/>
        </w:rPr>
        <w:t>1</w:t>
      </w:r>
    </w:p>
    <w:p w14:paraId="567C0EB5">
      <w:pPr>
        <w:pStyle w:val="30"/>
        <w:tabs>
          <w:tab w:val="left" w:pos="1441"/>
          <w:tab w:val="left" w:pos="9240"/>
        </w:tabs>
        <w:spacing w:beforeAutospacing="0" w:afterAutospacing="0" w:line="480" w:lineRule="auto"/>
        <w:ind w:right="176" w:rightChars="84" w:firstLine="640"/>
        <w:jc w:val="both"/>
        <w:rPr>
          <w:rFonts w:asciiTheme="minorEastAsia" w:hAnsiTheme="minorEastAsia"/>
          <w:color w:val="auto"/>
          <w:sz w:val="22"/>
          <w:highlight w:val="none"/>
        </w:rPr>
      </w:pPr>
      <w:r>
        <w:rPr>
          <w:rFonts w:hint="eastAsia" w:cs="黑体" w:asciiTheme="minorEastAsia" w:hAnsiTheme="minorEastAsia"/>
          <w:color w:val="auto"/>
          <w:sz w:val="32"/>
          <w:szCs w:val="36"/>
          <w:highlight w:val="none"/>
        </w:rPr>
        <w:t>投标人须知……………………………………………</w:t>
      </w:r>
      <w:r>
        <w:rPr>
          <w:rFonts w:hint="eastAsia" w:cs="黑体" w:asciiTheme="minorEastAsia" w:hAnsiTheme="minorEastAsia"/>
          <w:color w:val="auto"/>
          <w:sz w:val="32"/>
          <w:szCs w:val="36"/>
          <w:highlight w:val="none"/>
          <w:lang w:val="en-US" w:eastAsia="zh-CN"/>
        </w:rPr>
        <w:t>5</w:t>
      </w:r>
      <w:r>
        <w:rPr>
          <w:rFonts w:hint="eastAsia" w:cs="黑体" w:asciiTheme="minorEastAsia" w:hAnsiTheme="minorEastAsia"/>
          <w:color w:val="auto"/>
          <w:sz w:val="32"/>
          <w:szCs w:val="36"/>
          <w:highlight w:val="none"/>
        </w:rPr>
        <w:t xml:space="preserve">  </w:t>
      </w:r>
    </w:p>
    <w:p w14:paraId="523B941B">
      <w:pPr>
        <w:pStyle w:val="30"/>
        <w:tabs>
          <w:tab w:val="left" w:pos="1441"/>
          <w:tab w:val="left" w:pos="9240"/>
        </w:tabs>
        <w:spacing w:beforeAutospacing="0" w:afterAutospacing="0" w:line="480" w:lineRule="auto"/>
        <w:ind w:right="176" w:rightChars="84" w:firstLine="640"/>
        <w:jc w:val="both"/>
        <w:rPr>
          <w:rFonts w:hint="eastAsia" w:asciiTheme="minorEastAsia" w:hAnsiTheme="minorEastAsia" w:eastAsiaTheme="minorEastAsia"/>
          <w:color w:val="auto"/>
          <w:sz w:val="22"/>
          <w:highlight w:val="none"/>
          <w:lang w:eastAsia="zh-CN"/>
        </w:rPr>
      </w:pPr>
      <w:r>
        <w:rPr>
          <w:rFonts w:hint="eastAsia" w:cs="黑体" w:asciiTheme="minorEastAsia" w:hAnsiTheme="minorEastAsia"/>
          <w:color w:val="auto"/>
          <w:sz w:val="32"/>
          <w:szCs w:val="36"/>
          <w:highlight w:val="none"/>
        </w:rPr>
        <w:t>合同条款………………………………………………2</w:t>
      </w:r>
      <w:r>
        <w:rPr>
          <w:rFonts w:hint="eastAsia" w:cs="黑体" w:asciiTheme="minorEastAsia" w:hAnsiTheme="minorEastAsia"/>
          <w:color w:val="auto"/>
          <w:sz w:val="32"/>
          <w:szCs w:val="36"/>
          <w:highlight w:val="none"/>
          <w:lang w:val="en-US" w:eastAsia="zh-CN"/>
        </w:rPr>
        <w:t>0</w:t>
      </w:r>
    </w:p>
    <w:p w14:paraId="425DFAB2">
      <w:pPr>
        <w:pStyle w:val="30"/>
        <w:tabs>
          <w:tab w:val="left" w:pos="1441"/>
          <w:tab w:val="left" w:pos="9240"/>
        </w:tabs>
        <w:spacing w:beforeAutospacing="0" w:afterAutospacing="0" w:line="480" w:lineRule="auto"/>
        <w:ind w:right="176" w:rightChars="84" w:firstLine="640"/>
        <w:jc w:val="both"/>
        <w:rPr>
          <w:rFonts w:hint="default" w:asciiTheme="minorEastAsia" w:hAnsiTheme="minorEastAsia" w:eastAsiaTheme="minorEastAsia"/>
          <w:color w:val="auto"/>
          <w:sz w:val="22"/>
          <w:highlight w:val="none"/>
          <w:lang w:val="en-US" w:eastAsia="zh-CN"/>
        </w:rPr>
      </w:pPr>
      <w:r>
        <w:rPr>
          <w:rFonts w:hint="eastAsia" w:cs="黑体" w:asciiTheme="minorEastAsia" w:hAnsiTheme="minorEastAsia"/>
          <w:color w:val="auto"/>
          <w:sz w:val="32"/>
          <w:szCs w:val="36"/>
          <w:highlight w:val="none"/>
        </w:rPr>
        <w:t>采购需求………………………………………………</w:t>
      </w:r>
      <w:r>
        <w:rPr>
          <w:rFonts w:hint="eastAsia" w:cs="黑体" w:asciiTheme="minorEastAsia" w:hAnsiTheme="minorEastAsia"/>
          <w:color w:val="auto"/>
          <w:sz w:val="32"/>
          <w:szCs w:val="36"/>
          <w:highlight w:val="none"/>
          <w:lang w:val="en-US" w:eastAsia="zh-CN"/>
        </w:rPr>
        <w:t>32</w:t>
      </w:r>
    </w:p>
    <w:p w14:paraId="014446DB">
      <w:pPr>
        <w:pStyle w:val="30"/>
        <w:tabs>
          <w:tab w:val="left" w:pos="1441"/>
          <w:tab w:val="left" w:pos="9240"/>
        </w:tabs>
        <w:spacing w:beforeAutospacing="0" w:afterAutospacing="0" w:line="480" w:lineRule="auto"/>
        <w:ind w:right="176" w:rightChars="84" w:firstLine="640"/>
        <w:jc w:val="both"/>
        <w:rPr>
          <w:rFonts w:hint="default" w:asciiTheme="minorEastAsia" w:hAnsiTheme="minorEastAsia" w:eastAsiaTheme="minorEastAsia"/>
          <w:color w:val="auto"/>
          <w:sz w:val="22"/>
          <w:highlight w:val="none"/>
          <w:lang w:val="en-US" w:eastAsia="zh-CN"/>
        </w:rPr>
      </w:pPr>
      <w:r>
        <w:rPr>
          <w:rFonts w:hint="eastAsia" w:cs="黑体" w:asciiTheme="minorEastAsia" w:hAnsiTheme="minorEastAsia"/>
          <w:color w:val="auto"/>
          <w:sz w:val="32"/>
          <w:szCs w:val="36"/>
          <w:highlight w:val="none"/>
        </w:rPr>
        <w:t>评标方法与评标标准…………………………………</w:t>
      </w:r>
      <w:r>
        <w:rPr>
          <w:rFonts w:hint="eastAsia" w:cs="黑体" w:asciiTheme="minorEastAsia" w:hAnsiTheme="minorEastAsia"/>
          <w:color w:val="auto"/>
          <w:sz w:val="32"/>
          <w:szCs w:val="36"/>
          <w:highlight w:val="none"/>
          <w:lang w:val="en-US" w:eastAsia="zh-CN"/>
        </w:rPr>
        <w:t>78</w:t>
      </w:r>
    </w:p>
    <w:p w14:paraId="7AE41265">
      <w:pPr>
        <w:pStyle w:val="30"/>
        <w:tabs>
          <w:tab w:val="left" w:pos="1441"/>
          <w:tab w:val="left" w:pos="9240"/>
        </w:tabs>
        <w:spacing w:beforeAutospacing="0" w:afterAutospacing="0" w:line="480" w:lineRule="auto"/>
        <w:ind w:right="176" w:rightChars="84" w:firstLine="640"/>
        <w:jc w:val="both"/>
        <w:rPr>
          <w:rFonts w:hint="default" w:asciiTheme="minorEastAsia" w:hAnsiTheme="minorEastAsia" w:eastAsiaTheme="minorEastAsia"/>
          <w:color w:val="auto"/>
          <w:sz w:val="22"/>
          <w:highlight w:val="none"/>
          <w:lang w:val="en-US" w:eastAsia="zh-CN"/>
        </w:rPr>
      </w:pPr>
      <w:r>
        <w:rPr>
          <w:rFonts w:hint="eastAsia" w:cs="黑体" w:asciiTheme="minorEastAsia" w:hAnsiTheme="minorEastAsia"/>
          <w:color w:val="auto"/>
          <w:sz w:val="32"/>
          <w:szCs w:val="36"/>
          <w:highlight w:val="none"/>
        </w:rPr>
        <w:t>投标文件格式…………………………………………</w:t>
      </w:r>
      <w:r>
        <w:rPr>
          <w:rFonts w:hint="eastAsia" w:cs="黑体" w:asciiTheme="minorEastAsia" w:hAnsiTheme="minorEastAsia"/>
          <w:color w:val="auto"/>
          <w:sz w:val="32"/>
          <w:szCs w:val="36"/>
          <w:highlight w:val="none"/>
          <w:lang w:val="en-US" w:eastAsia="zh-CN"/>
        </w:rPr>
        <w:t>84</w:t>
      </w:r>
    </w:p>
    <w:p w14:paraId="5C3B6FA1">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6055750F">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7173A07C">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424A12AA">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03A681B2">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79BFCA99">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0A5DBADC">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49ABCAC0">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773AE586">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76BB685D">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39D3CB91">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030CCDF0">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39015941">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5B08A93F">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576169F2">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21768C21">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7519E5DE">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54A18672">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085A50AD">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30B5ACA8">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738EE079">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21740A85">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33D6387F">
      <w:pPr>
        <w:pStyle w:val="30"/>
        <w:tabs>
          <w:tab w:val="left" w:pos="9240"/>
        </w:tabs>
        <w:spacing w:beforeAutospacing="0" w:afterAutospacing="0"/>
        <w:ind w:right="176" w:rightChars="84" w:firstLine="480"/>
        <w:jc w:val="both"/>
        <w:rPr>
          <w:color w:val="auto"/>
          <w:highlight w:val="none"/>
        </w:rPr>
        <w:sectPr>
          <w:pgSz w:w="11906" w:h="16838"/>
          <w:pgMar w:top="1440" w:right="892" w:bottom="1440" w:left="1134" w:header="851" w:footer="992" w:gutter="0"/>
          <w:pgNumType w:fmt="decimal"/>
          <w:cols w:space="425" w:num="1"/>
          <w:docGrid w:linePitch="360" w:charSpace="0"/>
        </w:sectPr>
      </w:pPr>
    </w:p>
    <w:p w14:paraId="6227E83D">
      <w:pPr>
        <w:pStyle w:val="30"/>
        <w:tabs>
          <w:tab w:val="left" w:pos="9240"/>
        </w:tabs>
        <w:spacing w:beforeAutospacing="0" w:afterAutospacing="0"/>
        <w:ind w:right="176" w:rightChars="84" w:firstLine="480"/>
        <w:jc w:val="both"/>
        <w:rPr>
          <w:color w:val="auto"/>
          <w:highlight w:val="none"/>
        </w:rPr>
      </w:pPr>
    </w:p>
    <w:p w14:paraId="22FF8DDE">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777FA26E">
      <w:pPr>
        <w:pStyle w:val="30"/>
        <w:keepNext/>
        <w:tabs>
          <w:tab w:val="left" w:pos="9240"/>
        </w:tabs>
        <w:spacing w:beforeAutospacing="0" w:afterAutospacing="0"/>
        <w:ind w:right="176" w:rightChars="84"/>
        <w:jc w:val="center"/>
        <w:rPr>
          <w:rFonts w:eastAsia="黑体"/>
          <w:color w:val="auto"/>
          <w:highlight w:val="none"/>
        </w:rPr>
      </w:pPr>
      <w:bookmarkStart w:id="6" w:name="_Toc28359086"/>
      <w:r>
        <w:rPr>
          <w:rFonts w:hint="eastAsia" w:ascii="黑体" w:hAnsi="宋体" w:eastAsia="黑体" w:cs="黑体"/>
          <w:color w:val="auto"/>
          <w:sz w:val="44"/>
          <w:szCs w:val="44"/>
          <w:highlight w:val="none"/>
        </w:rPr>
        <w:t>第一章 招标公告</w:t>
      </w:r>
    </w:p>
    <w:p w14:paraId="44D27C21">
      <w:pPr>
        <w:pStyle w:val="30"/>
        <w:pBdr>
          <w:top w:val="single" w:color="000000" w:sz="4" w:space="0"/>
          <w:left w:val="single" w:color="000000" w:sz="4" w:space="0"/>
          <w:bottom w:val="single" w:color="000000" w:sz="4" w:space="0"/>
          <w:right w:val="single" w:color="000000" w:sz="4" w:space="0"/>
        </w:pBdr>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项目概况</w:t>
      </w:r>
    </w:p>
    <w:p w14:paraId="0C8440F8">
      <w:pPr>
        <w:pStyle w:val="30"/>
        <w:pBdr>
          <w:top w:val="single" w:color="000000" w:sz="4" w:space="0"/>
          <w:left w:val="single" w:color="000000" w:sz="4" w:space="0"/>
          <w:bottom w:val="single" w:color="000000" w:sz="4" w:space="0"/>
          <w:right w:val="single" w:color="000000" w:sz="4" w:space="0"/>
        </w:pBdr>
        <w:tabs>
          <w:tab w:val="left" w:pos="9240"/>
        </w:tabs>
        <w:spacing w:beforeAutospacing="0" w:afterAutospacing="0" w:line="520" w:lineRule="exact"/>
        <w:ind w:right="176" w:rightChars="84" w:firstLine="480"/>
        <w:jc w:val="left"/>
        <w:rPr>
          <w:rFonts w:ascii="宋体" w:hAnsi="宋体" w:eastAsia="宋体" w:cs="宋体"/>
          <w:color w:val="auto"/>
          <w:highlight w:val="none"/>
        </w:rPr>
      </w:pPr>
      <w:r>
        <w:rPr>
          <w:rFonts w:hint="eastAsia" w:ascii="宋体" w:hAnsi="宋体" w:eastAsia="宋体" w:cs="宋体"/>
          <w:color w:val="auto"/>
          <w:highlight w:val="none"/>
          <w:u w:val="single"/>
          <w:lang w:eastAsia="zh-CN"/>
        </w:rPr>
        <w:t>智慧公安-“农村道路交通安全提升工程”建设项目(路口视野整治项目）JSZC-320904-YCRH-G2026-0001</w:t>
      </w:r>
      <w:r>
        <w:rPr>
          <w:rFonts w:hint="eastAsia" w:ascii="宋体" w:hAnsi="宋体" w:eastAsia="宋体" w:cs="宋体"/>
          <w:color w:val="auto"/>
          <w:highlight w:val="none"/>
        </w:rPr>
        <w:t>的潜在投标人可在</w:t>
      </w:r>
      <w:r>
        <w:rPr>
          <w:rFonts w:hint="eastAsia" w:ascii="宋体" w:hAnsi="宋体" w:eastAsia="宋体" w:cs="宋体"/>
          <w:color w:val="auto"/>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highlight w:val="none"/>
        </w:rPr>
        <w:t>，并于</w:t>
      </w:r>
      <w:r>
        <w:rPr>
          <w:rFonts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02</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09</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分（北京时间）前递交投标文件。</w:t>
      </w:r>
    </w:p>
    <w:p w14:paraId="3966FCDA">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7" w:name="_Toc28359079"/>
      <w:bookmarkStart w:id="8" w:name="_Toc35393621"/>
      <w:bookmarkStart w:id="9" w:name="_Toc38985263"/>
      <w:bookmarkStart w:id="10" w:name="_Toc35393790"/>
      <w:bookmarkStart w:id="11" w:name="_Toc28359002"/>
      <w:bookmarkStart w:id="12" w:name="_Hlk24379207"/>
      <w:r>
        <w:rPr>
          <w:rFonts w:hint="eastAsia" w:ascii="宋体" w:hAnsi="宋体" w:eastAsia="宋体" w:cs="宋体"/>
          <w:b/>
          <w:color w:val="auto"/>
          <w:highlight w:val="none"/>
        </w:rPr>
        <w:t>一、项目基本情况</w:t>
      </w:r>
      <w:bookmarkEnd w:id="7"/>
      <w:bookmarkEnd w:id="8"/>
      <w:bookmarkEnd w:id="9"/>
      <w:bookmarkEnd w:id="10"/>
      <w:bookmarkEnd w:id="11"/>
      <w:bookmarkEnd w:id="12"/>
    </w:p>
    <w:p w14:paraId="35ED024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1.项目编号</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JSZC-320904-YCRH-G2026-0001</w:t>
      </w:r>
    </w:p>
    <w:p w14:paraId="2DE5752B">
      <w:pPr>
        <w:pStyle w:val="30"/>
        <w:tabs>
          <w:tab w:val="left" w:pos="9240"/>
        </w:tabs>
        <w:spacing w:beforeAutospacing="0" w:afterAutospacing="0" w:line="520" w:lineRule="exact"/>
        <w:ind w:right="176" w:rightChars="84"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智慧公安-“农村道路交通安全提升工程”建设项目(路口视野整治项目）</w:t>
      </w:r>
    </w:p>
    <w:p w14:paraId="6368E9D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shd w:val="clear" w:color="auto" w:fill="FFFFFF"/>
        </w:rPr>
        <w:t>3.采购方式：公开招标</w:t>
      </w:r>
    </w:p>
    <w:p w14:paraId="45DFFBD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4.预算金额：</w:t>
      </w:r>
      <w:r>
        <w:rPr>
          <w:rFonts w:hint="eastAsia" w:ascii="宋体" w:hAnsi="宋体" w:eastAsia="宋体" w:cs="宋体"/>
          <w:color w:val="auto"/>
          <w:highlight w:val="none"/>
          <w:lang w:val="en-US" w:eastAsia="zh-CN"/>
        </w:rPr>
        <w:t>72.89</w:t>
      </w:r>
      <w:r>
        <w:rPr>
          <w:rFonts w:hint="eastAsia" w:ascii="宋体" w:hAnsi="宋体" w:eastAsia="宋体" w:cs="宋体"/>
          <w:color w:val="auto"/>
          <w:highlight w:val="none"/>
        </w:rPr>
        <w:t>万元</w:t>
      </w:r>
    </w:p>
    <w:p w14:paraId="5BCFC55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FFFFFF" w:fill="D9D9D9"/>
        </w:rPr>
      </w:pPr>
      <w:r>
        <w:rPr>
          <w:rFonts w:hint="eastAsia" w:ascii="宋体" w:hAnsi="宋体" w:eastAsia="宋体" w:cs="宋体"/>
          <w:color w:val="auto"/>
          <w:highlight w:val="none"/>
          <w:shd w:val="clear" w:color="auto" w:fill="FFFFFF"/>
        </w:rPr>
        <w:t>5.最高限价：</w:t>
      </w:r>
      <w:r>
        <w:rPr>
          <w:rFonts w:hint="eastAsia" w:ascii="宋体" w:hAnsi="宋体" w:eastAsia="宋体" w:cs="宋体"/>
          <w:color w:val="auto"/>
          <w:highlight w:val="none"/>
          <w:lang w:val="en-US" w:eastAsia="zh-CN"/>
        </w:rPr>
        <w:t>72.89</w:t>
      </w:r>
      <w:r>
        <w:rPr>
          <w:rFonts w:hint="eastAsia" w:ascii="宋体" w:hAnsi="宋体" w:eastAsia="宋体" w:cs="宋体"/>
          <w:color w:val="auto"/>
          <w:highlight w:val="none"/>
        </w:rPr>
        <w:t>万元</w:t>
      </w:r>
    </w:p>
    <w:p w14:paraId="0CD1024B">
      <w:pPr>
        <w:pStyle w:val="30"/>
        <w:tabs>
          <w:tab w:val="left" w:pos="9240"/>
        </w:tabs>
        <w:spacing w:beforeAutospacing="0" w:afterAutospacing="0" w:line="520" w:lineRule="exact"/>
        <w:ind w:right="176" w:rightChars="84" w:firstLine="480"/>
        <w:jc w:val="left"/>
        <w:rPr>
          <w:rFonts w:ascii="宋体" w:hAnsi="宋体" w:eastAsia="宋体" w:cs="宋体"/>
          <w:color w:val="auto"/>
          <w:highlight w:val="none"/>
        </w:rPr>
      </w:pPr>
      <w:r>
        <w:rPr>
          <w:rFonts w:hint="eastAsia" w:ascii="宋体" w:hAnsi="宋体" w:eastAsia="宋体" w:cs="宋体"/>
          <w:color w:val="auto"/>
          <w:highlight w:val="none"/>
        </w:rPr>
        <w:t>6.采购需求（简介）：新建1处</w:t>
      </w:r>
      <w:r>
        <w:rPr>
          <w:rFonts w:hint="eastAsia" w:ascii="宋体" w:hAnsi="宋体" w:eastAsia="宋体" w:cs="宋体"/>
          <w:color w:val="auto"/>
          <w:highlight w:val="none"/>
          <w:lang w:val="en-US" w:eastAsia="zh-CN"/>
        </w:rPr>
        <w:t>区间测速</w:t>
      </w:r>
      <w:r>
        <w:rPr>
          <w:rFonts w:hint="eastAsia" w:ascii="宋体" w:hAnsi="宋体" w:eastAsia="宋体" w:cs="宋体"/>
          <w:color w:val="auto"/>
          <w:highlight w:val="none"/>
        </w:rPr>
        <w:t>抓拍点位；</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处</w:t>
      </w:r>
      <w:r>
        <w:rPr>
          <w:rFonts w:hint="eastAsia" w:ascii="宋体" w:hAnsi="宋体" w:eastAsia="宋体" w:cs="宋体"/>
          <w:color w:val="auto"/>
          <w:highlight w:val="none"/>
          <w:lang w:val="en-US" w:eastAsia="zh-CN"/>
        </w:rPr>
        <w:t>高杆灯</w:t>
      </w:r>
      <w:r>
        <w:rPr>
          <w:rFonts w:hint="eastAsia" w:ascii="宋体" w:hAnsi="宋体" w:eastAsia="宋体" w:cs="宋体"/>
          <w:color w:val="auto"/>
          <w:highlight w:val="none"/>
        </w:rPr>
        <w:t>点位</w:t>
      </w:r>
      <w:r>
        <w:rPr>
          <w:rFonts w:hint="eastAsia" w:ascii="宋体" w:hAnsi="宋体" w:eastAsia="宋体" w:cs="宋体"/>
          <w:color w:val="auto"/>
          <w:highlight w:val="none"/>
          <w:lang w:val="en-US" w:eastAsia="zh-CN"/>
        </w:rPr>
        <w:t>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处</w:t>
      </w:r>
      <w:r>
        <w:rPr>
          <w:rFonts w:hint="eastAsia" w:ascii="宋体" w:hAnsi="宋体" w:eastAsia="宋体" w:cs="宋体"/>
          <w:color w:val="auto"/>
          <w:highlight w:val="none"/>
          <w:lang w:val="en-US" w:eastAsia="zh-CN"/>
        </w:rPr>
        <w:t>支路哨兵</w:t>
      </w:r>
      <w:r>
        <w:rPr>
          <w:rFonts w:hint="eastAsia" w:ascii="宋体" w:hAnsi="宋体" w:eastAsia="宋体" w:cs="宋体"/>
          <w:color w:val="auto"/>
          <w:highlight w:val="none"/>
          <w:lang w:eastAsia="zh-CN"/>
        </w:rPr>
        <w:t>系统点位</w:t>
      </w:r>
      <w:r>
        <w:rPr>
          <w:rFonts w:hint="eastAsia" w:ascii="宋体" w:hAnsi="宋体" w:eastAsia="宋体" w:cs="宋体"/>
          <w:color w:val="auto"/>
          <w:highlight w:val="none"/>
          <w:lang w:val="en-US" w:eastAsia="zh-CN"/>
        </w:rPr>
        <w:t>建设；122块标识标牌建设；</w:t>
      </w:r>
      <w:r>
        <w:rPr>
          <w:rFonts w:hint="eastAsia" w:ascii="宋体" w:hAnsi="宋体" w:eastAsia="宋体" w:cs="宋体"/>
          <w:color w:val="auto"/>
          <w:highlight w:val="none"/>
        </w:rPr>
        <w:t>包装、运输保险、安装布置就位、调试、验收，质保期内的维保服务，配套光纤服务和其他服务，还包括但不限于提供各项资料等伴随服务</w:t>
      </w:r>
      <w:r>
        <w:rPr>
          <w:rFonts w:hint="eastAsia" w:ascii="宋体" w:hAnsi="宋体" w:cs="宋体"/>
          <w:color w:val="auto"/>
          <w:highlight w:val="none"/>
        </w:rPr>
        <w:t>，具体详见项目需求。</w:t>
      </w:r>
    </w:p>
    <w:p w14:paraId="3194B6B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7.合同履行期限：自合同签订之日起</w:t>
      </w:r>
      <w:r>
        <w:rPr>
          <w:rFonts w:hint="eastAsia" w:ascii="宋体" w:hAnsi="宋体" w:eastAsia="宋体" w:cs="宋体"/>
          <w:color w:val="auto"/>
          <w:highlight w:val="none"/>
          <w:lang w:val="en-US" w:eastAsia="zh-CN"/>
        </w:rPr>
        <w:t>45</w:t>
      </w:r>
      <w:r>
        <w:rPr>
          <w:rFonts w:hint="eastAsia" w:ascii="宋体" w:hAnsi="宋体" w:eastAsia="宋体" w:cs="宋体"/>
          <w:color w:val="auto"/>
          <w:highlight w:val="none"/>
        </w:rPr>
        <w:t>日历天全部安装完成并经采购人验收合格。</w:t>
      </w:r>
    </w:p>
    <w:p w14:paraId="2EF3D47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00"/>
        </w:rPr>
      </w:pPr>
      <w:r>
        <w:rPr>
          <w:rFonts w:hint="eastAsia" w:ascii="宋体" w:hAnsi="宋体" w:eastAsia="宋体" w:cs="宋体"/>
          <w:color w:val="auto"/>
          <w:highlight w:val="none"/>
          <w:shd w:val="clear" w:color="auto" w:fill="FFFFFF"/>
        </w:rPr>
        <w:t>8.本项目不接受联合体</w:t>
      </w:r>
      <w:r>
        <w:rPr>
          <w:rFonts w:hint="eastAsia" w:ascii="宋体" w:hAnsi="宋体" w:eastAsia="宋体" w:cs="宋体"/>
          <w:color w:val="auto"/>
          <w:highlight w:val="none"/>
        </w:rPr>
        <w:t>参与招标。</w:t>
      </w:r>
    </w:p>
    <w:p w14:paraId="1ADF5071">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3" w:name="_Toc38985264"/>
      <w:bookmarkStart w:id="14" w:name="_Toc35393622"/>
      <w:bookmarkStart w:id="15" w:name="_Toc28359080"/>
      <w:bookmarkStart w:id="16" w:name="_Toc35393791"/>
      <w:bookmarkStart w:id="17" w:name="_Toc28359003"/>
      <w:r>
        <w:rPr>
          <w:rFonts w:hint="eastAsia" w:ascii="宋体" w:hAnsi="宋体" w:eastAsia="宋体" w:cs="宋体"/>
          <w:color w:val="auto"/>
          <w:highlight w:val="none"/>
        </w:rPr>
        <w:t>9</w:t>
      </w:r>
      <w:r>
        <w:rPr>
          <w:rFonts w:ascii="宋体" w:hAnsi="宋体" w:eastAsia="宋体" w:cs="宋体"/>
          <w:color w:val="auto"/>
          <w:highlight w:val="none"/>
        </w:rPr>
        <w:t>.</w:t>
      </w:r>
      <w:r>
        <w:rPr>
          <w:rFonts w:hint="eastAsia" w:ascii="宋体" w:hAnsi="宋体" w:eastAsia="宋体" w:cs="宋体"/>
          <w:color w:val="auto"/>
          <w:highlight w:val="none"/>
        </w:rPr>
        <w:t>质保期：不少于5年。</w:t>
      </w:r>
    </w:p>
    <w:p w14:paraId="7F93B4C2">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r>
        <w:rPr>
          <w:rFonts w:hint="eastAsia" w:ascii="宋体" w:hAnsi="宋体" w:eastAsia="宋体" w:cs="宋体"/>
          <w:b/>
          <w:color w:val="auto"/>
          <w:highlight w:val="none"/>
        </w:rPr>
        <w:t>二、申请人的资格要求：</w:t>
      </w:r>
      <w:bookmarkEnd w:id="13"/>
      <w:bookmarkEnd w:id="14"/>
      <w:bookmarkEnd w:id="15"/>
      <w:bookmarkEnd w:id="16"/>
      <w:bookmarkEnd w:id="17"/>
    </w:p>
    <w:p w14:paraId="48CDA53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50357AB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w:t>
      </w:r>
    </w:p>
    <w:p w14:paraId="0BF35C6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1.2上一年度的财务状况报告（投标人成立不满一年无需提供）；</w:t>
      </w:r>
    </w:p>
    <w:p w14:paraId="49DBAA0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706E3CC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3A22DFA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2F1E6BC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6CAFACA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D0EDEF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27C9051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2.落实政府采购政策需满足的资格要求：无</w:t>
      </w:r>
    </w:p>
    <w:p w14:paraId="4065FFDB">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3.本项目的特</w:t>
      </w:r>
      <w:bookmarkStart w:id="459" w:name="_GoBack"/>
      <w:bookmarkEnd w:id="459"/>
      <w:r>
        <w:rPr>
          <w:rFonts w:hint="eastAsia" w:ascii="宋体" w:hAnsi="宋体" w:eastAsia="宋体" w:cs="宋体"/>
          <w:color w:val="auto"/>
          <w:highlight w:val="none"/>
        </w:rPr>
        <w:t>定资格要求：无</w:t>
      </w:r>
    </w:p>
    <w:p w14:paraId="53E1FC33">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r>
        <w:rPr>
          <w:rFonts w:hint="eastAsia" w:ascii="宋体" w:hAnsi="宋体" w:eastAsia="宋体" w:cs="宋体"/>
          <w:b/>
          <w:color w:val="auto"/>
          <w:highlight w:val="none"/>
        </w:rPr>
        <w:t>三、获取招标文件</w:t>
      </w:r>
    </w:p>
    <w:p w14:paraId="12FD8319">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8" w:name="_Toc28359082"/>
      <w:bookmarkStart w:id="19" w:name="_Toc28359005"/>
      <w:bookmarkStart w:id="20" w:name="_Toc35393624"/>
      <w:bookmarkStart w:id="21" w:name="_Toc35393793"/>
      <w:bookmarkStart w:id="22" w:name="_Toc38985266"/>
      <w:r>
        <w:rPr>
          <w:rFonts w:hint="eastAsia" w:ascii="宋体" w:hAnsi="宋体" w:eastAsia="宋体" w:cs="宋体"/>
          <w:color w:val="auto"/>
          <w:highlight w:val="none"/>
        </w:rPr>
        <w:t>1.时间：</w:t>
      </w:r>
      <w:bookmarkEnd w:id="18"/>
      <w:bookmarkEnd w:id="19"/>
      <w:bookmarkEnd w:id="20"/>
      <w:bookmarkEnd w:id="21"/>
      <w:bookmarkEnd w:id="22"/>
      <w:r>
        <w:rPr>
          <w:rFonts w:hint="eastAsia" w:ascii="宋体" w:hAnsi="宋体" w:eastAsia="宋体" w:cs="宋体"/>
          <w:color w:val="auto"/>
          <w:highlight w:val="none"/>
        </w:rPr>
        <w:t>自招标文件公告发布之日起5个工作日 。</w:t>
      </w:r>
    </w:p>
    <w:p w14:paraId="7E5DFBAB">
      <w:pPr>
        <w:widowControl/>
        <w:tabs>
          <w:tab w:val="left" w:pos="9240"/>
        </w:tabs>
        <w:spacing w:line="52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2.地点：“苏采云”系统内免费下载（投标人必须在苏采云系统中获取采购文件，方能参与政府采购项目）；</w:t>
      </w:r>
    </w:p>
    <w:p w14:paraId="5F7D4219">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3.方式：本项目采用网上注册登记方式（网址：http://www.ccgp-jiangsu.gov.cn/jiangsu/bridge_page.html）。 </w:t>
      </w:r>
    </w:p>
    <w:p w14:paraId="4ACEB3FB">
      <w:pPr>
        <w:widowControl/>
        <w:tabs>
          <w:tab w:val="left" w:pos="9240"/>
        </w:tabs>
        <w:spacing w:line="52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4.售价：0元</w:t>
      </w:r>
    </w:p>
    <w:p w14:paraId="2127F251">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5C5A839E">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1.时间：</w:t>
      </w:r>
      <w:r>
        <w:rPr>
          <w:rFonts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09</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lang w:val="en-US" w:eastAsia="zh-CN"/>
        </w:rPr>
        <w:t>10</w:t>
      </w:r>
      <w:r>
        <w:rPr>
          <w:rFonts w:hint="eastAsia" w:ascii="宋体" w:hAnsi="宋体" w:eastAsia="宋体" w:cs="宋体"/>
          <w:bCs/>
          <w:color w:val="auto"/>
          <w:highlight w:val="none"/>
        </w:rPr>
        <w:t>时</w:t>
      </w:r>
      <w:r>
        <w:rPr>
          <w:rFonts w:hint="eastAsia" w:ascii="宋体" w:hAnsi="宋体" w:eastAsia="宋体" w:cs="宋体"/>
          <w:color w:val="auto"/>
          <w:highlight w:val="none"/>
        </w:rPr>
        <w:t>（北京时间）。</w:t>
      </w:r>
    </w:p>
    <w:p w14:paraId="05DE334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2.地点：苏采云“不见面”开标大厅 。</w:t>
      </w:r>
    </w:p>
    <w:p w14:paraId="42E6807D">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23" w:name="_Toc28359007"/>
      <w:bookmarkStart w:id="24" w:name="_Toc35393625"/>
      <w:bookmarkStart w:id="25" w:name="_Toc28359084"/>
      <w:bookmarkStart w:id="26" w:name="_Toc35393794"/>
      <w:bookmarkStart w:id="27" w:name="_Toc38985267"/>
      <w:r>
        <w:rPr>
          <w:rFonts w:hint="eastAsia" w:ascii="宋体" w:hAnsi="宋体" w:eastAsia="宋体" w:cs="宋体"/>
          <w:b/>
          <w:color w:val="auto"/>
          <w:highlight w:val="none"/>
        </w:rPr>
        <w:t>五、公告期限</w:t>
      </w:r>
      <w:bookmarkEnd w:id="23"/>
      <w:bookmarkEnd w:id="24"/>
      <w:bookmarkEnd w:id="25"/>
      <w:bookmarkEnd w:id="26"/>
      <w:bookmarkEnd w:id="27"/>
    </w:p>
    <w:p w14:paraId="3193E0F4">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bookmarkStart w:id="28" w:name="_Toc35393795"/>
      <w:bookmarkStart w:id="29" w:name="_Toc35393626"/>
      <w:bookmarkStart w:id="30" w:name="_Toc38985268"/>
      <w:r>
        <w:rPr>
          <w:rFonts w:hint="eastAsia" w:ascii="宋体" w:hAnsi="宋体" w:eastAsia="宋体" w:cs="宋体"/>
          <w:color w:val="auto"/>
          <w:highlight w:val="none"/>
          <w:shd w:val="clear" w:color="auto" w:fill="FFFFFF"/>
        </w:rPr>
        <w:t>自本公告发布之日起5个工作日。</w:t>
      </w:r>
      <w:bookmarkEnd w:id="28"/>
      <w:bookmarkEnd w:id="29"/>
      <w:bookmarkEnd w:id="30"/>
    </w:p>
    <w:p w14:paraId="26C23FCB">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r>
        <w:rPr>
          <w:rFonts w:hint="eastAsia" w:ascii="宋体" w:hAnsi="宋体" w:eastAsia="宋体" w:cs="宋体"/>
          <w:b/>
          <w:color w:val="auto"/>
          <w:highlight w:val="none"/>
        </w:rPr>
        <w:t>六、其他补充事宜</w:t>
      </w:r>
    </w:p>
    <w:p w14:paraId="40F245B7">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bookmarkStart w:id="31" w:name="_Toc28359018"/>
      <w:r>
        <w:rPr>
          <w:rFonts w:hint="eastAsia" w:ascii="宋体" w:hAnsi="宋体" w:eastAsia="宋体" w:cs="宋体"/>
          <w:color w:val="auto"/>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EF21074">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7FA2D90">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2.潜在供应商访问电子招标响应交易平台的网络地址和方法： </w:t>
      </w:r>
    </w:p>
    <w:p w14:paraId="3BD9F293">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47A42EE">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2.2 潜在投标人访问“苏采云”系统方法：江苏省政府采购网首页-“苏采云”链接。 </w:t>
      </w:r>
    </w:p>
    <w:p w14:paraId="4B3FBEA1">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2.3 采购文件（后缀名为“.kedt”）、供应商操作手册及政府采购客户端 工具可通过“苏采云”系统相应链接进行下载。 </w:t>
      </w:r>
    </w:p>
    <w:p w14:paraId="15044E26">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2.4 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 xml:space="preserve">将数据电文形式的采购文件加载至“苏采云”系统，供潜在供应商下载或者查阅。 </w:t>
      </w:r>
    </w:p>
    <w:p w14:paraId="20556949">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2.5 请潜在投标单位提前安装相应的控件（详见《“苏采云”系统供应商操作手册》）并使用谷歌浏览器登录“苏采云”系统参与不见面开评标。 </w:t>
      </w:r>
    </w:p>
    <w:p w14:paraId="3CFD8508">
      <w:pPr>
        <w:widowControl/>
        <w:tabs>
          <w:tab w:val="left" w:pos="9240"/>
        </w:tabs>
        <w:spacing w:line="52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如潜在投标人未按上述要求操作，将自行承担所产生的风险。</w:t>
      </w:r>
    </w:p>
    <w:p w14:paraId="7F977D55">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3.有关本次招标的事项若存在变动或修改，敬请及时关注采购人在“中国政府采购网”、“江苏政府采购网”、“盐城市政府采购网”发布的更正公告。</w:t>
      </w:r>
    </w:p>
    <w:p w14:paraId="33853ABB">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4.本次招标不收取投标保证金，不收取质量保证金。</w:t>
      </w:r>
    </w:p>
    <w:p w14:paraId="29911018">
      <w:pPr>
        <w:pStyle w:val="3"/>
        <w:widowControl/>
        <w:shd w:val="clear" w:color="auto" w:fill="FFFFFF"/>
        <w:tabs>
          <w:tab w:val="left" w:pos="9240"/>
        </w:tabs>
        <w:spacing w:beforeAutospacing="0" w:afterAutospacing="0" w:line="520" w:lineRule="exact"/>
        <w:ind w:right="176" w:rightChars="84" w:firstLine="480"/>
        <w:jc w:val="both"/>
        <w:rPr>
          <w:rFonts w:hint="default" w:cs="宋体"/>
          <w:b w:val="0"/>
          <w:bCs w:val="0"/>
          <w:color w:val="auto"/>
          <w:sz w:val="24"/>
          <w:szCs w:val="24"/>
          <w:highlight w:val="none"/>
          <w:shd w:val="clear" w:color="auto" w:fill="FFFFFF"/>
        </w:rPr>
      </w:pPr>
      <w:r>
        <w:rPr>
          <w:rFonts w:cs="宋体"/>
          <w:b w:val="0"/>
          <w:bCs w:val="0"/>
          <w:color w:val="auto"/>
          <w:sz w:val="24"/>
          <w:szCs w:val="24"/>
          <w:highlight w:val="none"/>
          <w:shd w:val="clear" w:color="auto" w:fill="FFFFFF"/>
        </w:rPr>
        <w:t>七、对本次招标提出询问，请按以下方式联系。</w:t>
      </w:r>
      <w:bookmarkEnd w:id="31"/>
    </w:p>
    <w:p w14:paraId="17DBD34A">
      <w:pPr>
        <w:pStyle w:val="3"/>
        <w:widowControl/>
        <w:shd w:val="clear" w:color="auto" w:fill="FFFFFF"/>
        <w:tabs>
          <w:tab w:val="left" w:pos="9240"/>
        </w:tabs>
        <w:spacing w:beforeAutospacing="0" w:afterAutospacing="0" w:line="520" w:lineRule="exact"/>
        <w:ind w:right="176" w:rightChars="84" w:firstLine="480"/>
        <w:jc w:val="both"/>
        <w:rPr>
          <w:rFonts w:hint="default" w:cs="宋体"/>
          <w:b w:val="0"/>
          <w:bCs w:val="0"/>
          <w:color w:val="auto"/>
          <w:sz w:val="24"/>
          <w:szCs w:val="24"/>
          <w:highlight w:val="none"/>
          <w:shd w:val="clear" w:color="auto" w:fill="FFFFFF"/>
        </w:rPr>
      </w:pPr>
      <w:r>
        <w:rPr>
          <w:rFonts w:cs="宋体"/>
          <w:b w:val="0"/>
          <w:bCs w:val="0"/>
          <w:color w:val="auto"/>
          <w:sz w:val="24"/>
          <w:szCs w:val="24"/>
          <w:highlight w:val="none"/>
          <w:shd w:val="clear" w:color="auto" w:fill="FFFFFF"/>
        </w:rPr>
        <w:t>1.采购人信息</w:t>
      </w:r>
    </w:p>
    <w:p w14:paraId="10EBB362">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名 称：</w:t>
      </w:r>
      <w:r>
        <w:rPr>
          <w:rFonts w:hint="eastAsia" w:ascii="宋体" w:hAnsi="宋体" w:eastAsia="宋体" w:cs="宋体"/>
          <w:bCs/>
          <w:color w:val="auto"/>
          <w:highlight w:val="none"/>
        </w:rPr>
        <w:t>盐城市公安局大丰分局</w:t>
      </w:r>
    </w:p>
    <w:p w14:paraId="1BDDE54D">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地址：盐城市大丰市区健康西路21号</w:t>
      </w:r>
    </w:p>
    <w:p w14:paraId="04D50873">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联系人：</w:t>
      </w:r>
      <w:r>
        <w:rPr>
          <w:rFonts w:hint="eastAsia" w:ascii="宋体" w:hAnsi="宋体" w:eastAsia="宋体" w:cs="宋体"/>
          <w:color w:val="auto"/>
          <w:sz w:val="24"/>
          <w:szCs w:val="24"/>
          <w:highlight w:val="none"/>
          <w:lang w:val="en-US" w:eastAsia="zh-CN" w:bidi="ar"/>
        </w:rPr>
        <w:t>沈鸣熙</w:t>
      </w:r>
    </w:p>
    <w:p w14:paraId="3E26452A">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联系方式：</w:t>
      </w:r>
      <w:r>
        <w:rPr>
          <w:rFonts w:hint="eastAsia" w:ascii="宋体" w:hAnsi="宋体" w:eastAsia="宋体" w:cs="宋体"/>
          <w:color w:val="auto"/>
          <w:sz w:val="24"/>
          <w:szCs w:val="24"/>
          <w:highlight w:val="none"/>
          <w:lang w:val="en-US" w:eastAsia="zh-CN" w:bidi="ar"/>
        </w:rPr>
        <w:t>18862030899</w:t>
      </w:r>
    </w:p>
    <w:p w14:paraId="78D71386">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w:t>
      </w:r>
      <w:r>
        <w:rPr>
          <w:rFonts w:hint="eastAsia" w:ascii="宋体" w:hAnsi="宋体" w:eastAsia="宋体" w:cs="宋体"/>
        </w:rPr>
        <w:t>采购代理机构信息</w:t>
      </w:r>
    </w:p>
    <w:p w14:paraId="6B7F8449">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名 称：</w:t>
      </w:r>
      <w:r>
        <w:rPr>
          <w:rFonts w:hint="eastAsia" w:ascii="宋体" w:hAnsi="宋体" w:cs="宋体"/>
          <w:lang w:eastAsia="zh-CN"/>
        </w:rPr>
        <w:t>盐城润恒工程项目管理有限公司</w:t>
      </w:r>
    </w:p>
    <w:p w14:paraId="1F242E77">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地 址：</w:t>
      </w:r>
      <w:r>
        <w:rPr>
          <w:rFonts w:hint="eastAsia" w:ascii="宋体" w:hAnsi="宋体" w:eastAsia="宋体" w:cs="宋体"/>
          <w:color w:val="auto"/>
          <w:highlight w:val="none"/>
          <w:shd w:val="clear" w:color="auto" w:fill="FFFFFF"/>
          <w:lang w:val="zh-CN" w:eastAsia="zh-CN"/>
        </w:rPr>
        <w:t>盐城市大丰区阜北村村部二楼</w:t>
      </w:r>
    </w:p>
    <w:p w14:paraId="019B8DE8">
      <w:pPr>
        <w:pStyle w:val="30"/>
        <w:widowControl/>
        <w:shd w:val="clear" w:color="auto" w:fill="FFFFFF"/>
        <w:tabs>
          <w:tab w:val="left" w:pos="9240"/>
        </w:tabs>
        <w:spacing w:beforeAutospacing="0" w:afterAutospacing="0" w:line="520" w:lineRule="exact"/>
        <w:ind w:right="176" w:rightChars="84" w:firstLine="480"/>
        <w:jc w:val="both"/>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联系人：</w:t>
      </w:r>
      <w:r>
        <w:rPr>
          <w:rFonts w:hint="eastAsia" w:ascii="宋体" w:hAnsi="宋体" w:eastAsia="宋体" w:cs="宋体"/>
          <w:color w:val="auto"/>
          <w:highlight w:val="none"/>
          <w:shd w:val="clear" w:color="auto" w:fill="FFFFFF"/>
          <w:lang w:val="en-US" w:eastAsia="zh-CN"/>
        </w:rPr>
        <w:t>王敬</w:t>
      </w:r>
    </w:p>
    <w:p w14:paraId="6319BC3F">
      <w:pPr>
        <w:pStyle w:val="30"/>
        <w:widowControl/>
        <w:shd w:val="clear" w:color="auto" w:fill="FFFFFF"/>
        <w:tabs>
          <w:tab w:val="left" w:pos="9240"/>
        </w:tabs>
        <w:spacing w:beforeAutospacing="0" w:afterAutospacing="0" w:line="520" w:lineRule="exact"/>
        <w:ind w:right="176" w:rightChars="84" w:firstLine="480"/>
        <w:jc w:val="both"/>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联系方式：</w:t>
      </w:r>
      <w:bookmarkStart w:id="32" w:name="_Toc28359021"/>
      <w:r>
        <w:rPr>
          <w:rFonts w:hint="eastAsia" w:ascii="宋体" w:hAnsi="宋体" w:eastAsia="宋体" w:cs="宋体"/>
          <w:color w:val="auto"/>
          <w:highlight w:val="none"/>
          <w:shd w:val="clear" w:color="auto" w:fill="FFFFFF"/>
          <w:lang w:val="en-US" w:eastAsia="zh-CN"/>
        </w:rPr>
        <w:t>13905112300</w:t>
      </w:r>
    </w:p>
    <w:p w14:paraId="075256AB">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w:t>
      </w:r>
      <w:bookmarkEnd w:id="32"/>
      <w:r>
        <w:rPr>
          <w:rFonts w:hint="eastAsia" w:ascii="宋体" w:hAnsi="宋体" w:eastAsia="宋体" w:cs="宋体"/>
          <w:color w:val="auto"/>
          <w:highlight w:val="none"/>
          <w:shd w:val="clear" w:color="auto" w:fill="FFFFFF"/>
        </w:rPr>
        <w:t>项目联系方式</w:t>
      </w:r>
    </w:p>
    <w:p w14:paraId="62879AEE">
      <w:pPr>
        <w:pStyle w:val="30"/>
        <w:widowControl/>
        <w:shd w:val="clear" w:color="auto" w:fill="FFFFFF"/>
        <w:tabs>
          <w:tab w:val="left" w:pos="9240"/>
        </w:tabs>
        <w:spacing w:beforeAutospacing="0" w:afterAutospacing="0" w:line="520" w:lineRule="exact"/>
        <w:ind w:right="176" w:rightChars="84" w:firstLine="480"/>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项目联系人：</w:t>
      </w:r>
      <w:r>
        <w:rPr>
          <w:rFonts w:hint="eastAsia" w:ascii="宋体" w:hAnsi="宋体" w:eastAsia="宋体" w:cs="宋体"/>
          <w:color w:val="auto"/>
          <w:highlight w:val="none"/>
          <w:shd w:val="clear" w:color="auto" w:fill="FFFFFF"/>
          <w:lang w:val="en-US" w:eastAsia="zh-CN"/>
        </w:rPr>
        <w:t>王敬</w:t>
      </w:r>
    </w:p>
    <w:p w14:paraId="0630396B">
      <w:pPr>
        <w:pStyle w:val="30"/>
        <w:widowControl/>
        <w:shd w:val="clear" w:color="auto" w:fill="FFFFFF"/>
        <w:tabs>
          <w:tab w:val="left" w:pos="9240"/>
        </w:tabs>
        <w:spacing w:beforeAutospacing="0" w:afterAutospacing="0" w:line="520" w:lineRule="exact"/>
        <w:ind w:right="176" w:rightChars="84" w:firstLine="480"/>
        <w:jc w:val="both"/>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电　　 话：</w:t>
      </w:r>
      <w:r>
        <w:rPr>
          <w:rFonts w:hint="eastAsia" w:ascii="宋体" w:hAnsi="宋体" w:eastAsia="宋体" w:cs="宋体"/>
          <w:color w:val="auto"/>
          <w:highlight w:val="none"/>
          <w:shd w:val="clear" w:color="auto" w:fill="FFFFFF"/>
          <w:lang w:val="en-US" w:eastAsia="zh-CN"/>
        </w:rPr>
        <w:t>13905112300</w:t>
      </w:r>
    </w:p>
    <w:p w14:paraId="29BB077B">
      <w:pPr>
        <w:tabs>
          <w:tab w:val="left" w:pos="9240"/>
        </w:tabs>
        <w:ind w:right="176" w:rightChars="84"/>
        <w:rPr>
          <w:rFonts w:ascii="宋体" w:hAnsi="宋体" w:eastAsia="宋体" w:cs="宋体"/>
          <w:color w:val="auto"/>
          <w:sz w:val="24"/>
          <w:highlight w:val="none"/>
        </w:rPr>
      </w:pPr>
      <w:r>
        <w:rPr>
          <w:rFonts w:hint="eastAsia" w:ascii="宋体" w:hAnsi="宋体" w:eastAsia="宋体" w:cs="宋体"/>
          <w:color w:val="auto"/>
          <w:sz w:val="24"/>
          <w:highlight w:val="none"/>
        </w:rPr>
        <w:t> </w:t>
      </w:r>
    </w:p>
    <w:p w14:paraId="2A919B20">
      <w:pPr>
        <w:tabs>
          <w:tab w:val="left" w:pos="9240"/>
        </w:tabs>
        <w:ind w:right="176" w:rightChars="84"/>
        <w:rPr>
          <w:rFonts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33" w:name="_Toc120614211"/>
    </w:p>
    <w:p w14:paraId="0D86BE53">
      <w:pPr>
        <w:pStyle w:val="30"/>
        <w:keepNext/>
        <w:keepLines/>
        <w:tabs>
          <w:tab w:val="left" w:pos="9240"/>
        </w:tabs>
        <w:spacing w:before="260" w:beforeAutospacing="0" w:after="260" w:afterAutospacing="0" w:line="415" w:lineRule="auto"/>
        <w:ind w:right="176" w:rightChars="84"/>
        <w:jc w:val="center"/>
        <w:rPr>
          <w:color w:val="auto"/>
          <w:highlight w:val="none"/>
        </w:rPr>
      </w:pPr>
      <w:r>
        <w:rPr>
          <w:rFonts w:hint="eastAsia" w:ascii="黑体" w:hAnsi="宋体" w:eastAsia="黑体" w:cs="黑体"/>
          <w:b/>
          <w:color w:val="auto"/>
          <w:sz w:val="44"/>
          <w:szCs w:val="44"/>
          <w:highlight w:val="none"/>
        </w:rPr>
        <w:t xml:space="preserve">第二章  </w:t>
      </w:r>
      <w:bookmarkEnd w:id="33"/>
      <w:bookmarkStart w:id="34" w:name="_Toc120614213"/>
      <w:bookmarkStart w:id="35" w:name="_Toc16938518"/>
      <w:bookmarkStart w:id="36" w:name="_Toc513029202"/>
      <w:bookmarkStart w:id="37" w:name="_Toc20823274"/>
      <w:r>
        <w:rPr>
          <w:rFonts w:hint="eastAsia" w:ascii="黑体" w:hAnsi="宋体" w:eastAsia="黑体" w:cs="黑体"/>
          <w:b/>
          <w:color w:val="auto"/>
          <w:sz w:val="44"/>
          <w:szCs w:val="44"/>
          <w:highlight w:val="none"/>
        </w:rPr>
        <w:t>投标人须知</w:t>
      </w:r>
      <w:bookmarkEnd w:id="34"/>
      <w:bookmarkEnd w:id="35"/>
      <w:bookmarkEnd w:id="36"/>
      <w:bookmarkEnd w:id="37"/>
    </w:p>
    <w:p w14:paraId="3AD93DF3">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38" w:name="_Toc513029203"/>
      <w:bookmarkStart w:id="39" w:name="_Toc16938519"/>
      <w:bookmarkStart w:id="40" w:name="_Toc120614214"/>
      <w:bookmarkStart w:id="41" w:name="_Toc20823275"/>
      <w:r>
        <w:rPr>
          <w:rFonts w:hint="eastAsia" w:ascii="宋体" w:hAnsi="宋体" w:eastAsia="宋体" w:cs="宋体"/>
          <w:b/>
          <w:color w:val="auto"/>
          <w:highlight w:val="none"/>
        </w:rPr>
        <w:t>一、总则</w:t>
      </w:r>
      <w:bookmarkEnd w:id="38"/>
      <w:bookmarkEnd w:id="39"/>
      <w:bookmarkEnd w:id="40"/>
      <w:bookmarkEnd w:id="41"/>
    </w:p>
    <w:p w14:paraId="2540A9D6">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42" w:name="_Toc20823276"/>
      <w:bookmarkStart w:id="43" w:name="_Toc513029204"/>
      <w:bookmarkStart w:id="44" w:name="_Toc16938520"/>
      <w:bookmarkStart w:id="45" w:name="_Toc458694821"/>
      <w:bookmarkStart w:id="46" w:name="_Hlt16619475"/>
      <w:r>
        <w:rPr>
          <w:rFonts w:hint="eastAsia" w:ascii="宋体" w:hAnsi="宋体" w:eastAsia="宋体" w:cs="宋体"/>
          <w:color w:val="auto"/>
          <w:highlight w:val="none"/>
        </w:rPr>
        <w:t>1</w:t>
      </w:r>
      <w:bookmarkEnd w:id="42"/>
      <w:r>
        <w:rPr>
          <w:rFonts w:hint="eastAsia" w:ascii="宋体" w:hAnsi="宋体" w:eastAsia="宋体" w:cs="宋体"/>
          <w:color w:val="auto"/>
          <w:highlight w:val="none"/>
        </w:rPr>
        <w:t>、招标方式</w:t>
      </w:r>
      <w:bookmarkEnd w:id="43"/>
      <w:bookmarkEnd w:id="44"/>
      <w:bookmarkEnd w:id="45"/>
    </w:p>
    <w:p w14:paraId="29BBA514">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1.1 本次招标采取公开招标方式，本招标文件仅适用于招标公告中所述项目。</w:t>
      </w:r>
    </w:p>
    <w:p w14:paraId="1A7D61C1">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47" w:name="_Toc20823277"/>
      <w:bookmarkStart w:id="48" w:name="_Toc16938521"/>
      <w:bookmarkStart w:id="49" w:name="_Toc513029205"/>
      <w:r>
        <w:rPr>
          <w:rFonts w:hint="eastAsia" w:ascii="宋体" w:hAnsi="宋体" w:eastAsia="宋体" w:cs="宋体"/>
          <w:color w:val="auto"/>
          <w:highlight w:val="none"/>
        </w:rPr>
        <w:t>2、合格的投标人</w:t>
      </w:r>
      <w:bookmarkEnd w:id="47"/>
      <w:bookmarkEnd w:id="48"/>
      <w:bookmarkEnd w:id="49"/>
    </w:p>
    <w:p w14:paraId="266A5F3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68B00EB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2.2 满足本文件实质性要求和条件的规定。</w:t>
      </w:r>
    </w:p>
    <w:p w14:paraId="41784034">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50" w:name="_Toc20823278"/>
      <w:bookmarkStart w:id="51" w:name="_Toc16938522"/>
      <w:bookmarkStart w:id="52" w:name="_Toc513029206"/>
      <w:r>
        <w:rPr>
          <w:rFonts w:hint="eastAsia" w:ascii="宋体" w:hAnsi="宋体" w:eastAsia="宋体" w:cs="宋体"/>
          <w:color w:val="auto"/>
          <w:highlight w:val="none"/>
        </w:rPr>
        <w:t>3、适用法律</w:t>
      </w:r>
      <w:bookmarkEnd w:id="50"/>
      <w:bookmarkEnd w:id="51"/>
      <w:bookmarkEnd w:id="52"/>
    </w:p>
    <w:p w14:paraId="6596E1F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3.1 本次招标及由此产生的合同受中华人民共和国有关的法律法规制约和保护。</w:t>
      </w:r>
    </w:p>
    <w:p w14:paraId="60CCB167">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53" w:name="_Toc462564067"/>
      <w:bookmarkStart w:id="54" w:name="_Toc20823279"/>
      <w:bookmarkStart w:id="55" w:name="_Toc16938523"/>
      <w:bookmarkStart w:id="56" w:name="_Toc513029207"/>
      <w:r>
        <w:rPr>
          <w:rFonts w:hint="eastAsia" w:ascii="宋体" w:hAnsi="宋体" w:eastAsia="宋体" w:cs="宋体"/>
          <w:color w:val="auto"/>
          <w:highlight w:val="none"/>
        </w:rPr>
        <w:t>4、投标费用</w:t>
      </w:r>
      <w:bookmarkEnd w:id="53"/>
      <w:bookmarkEnd w:id="54"/>
      <w:bookmarkEnd w:id="55"/>
      <w:bookmarkEnd w:id="56"/>
    </w:p>
    <w:p w14:paraId="64B0B3D2">
      <w:pPr>
        <w:pStyle w:val="30"/>
        <w:tabs>
          <w:tab w:val="left" w:pos="9240"/>
        </w:tabs>
        <w:spacing w:beforeAutospacing="0" w:afterAutospacing="0" w:line="520" w:lineRule="exact"/>
        <w:ind w:right="176" w:rightChars="84"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 投标人应自行承担所有与参加投标有关的费用，无论投标过程中的做法和结果如何，采购人在任何情况下均无义务和责任承担这些费用。</w:t>
      </w:r>
    </w:p>
    <w:p w14:paraId="525DD37E">
      <w:pPr>
        <w:pStyle w:val="30"/>
        <w:tabs>
          <w:tab w:val="left" w:pos="9240"/>
        </w:tabs>
        <w:spacing w:beforeAutospacing="0" w:afterAutospacing="0" w:line="520" w:lineRule="exact"/>
        <w:ind w:right="176" w:rightChars="84"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4.2招标代理服务费：本项目招标代理费向中标单位收取，招标代理费参照苏招协[2022]002号文件规定货物类标准缴纳；请投标人考虑在投标报价中，但不单列，自行分摊至投标报价单价、合价中。</w:t>
      </w:r>
    </w:p>
    <w:p w14:paraId="3AB3CBA3">
      <w:pPr>
        <w:pStyle w:val="30"/>
        <w:tabs>
          <w:tab w:val="left" w:pos="9240"/>
        </w:tabs>
        <w:spacing w:beforeAutospacing="0" w:afterAutospacing="0" w:line="520" w:lineRule="exact"/>
        <w:ind w:right="176" w:rightChars="84" w:firstLine="482"/>
        <w:jc w:val="both"/>
        <w:rPr>
          <w:rFonts w:ascii="宋体" w:hAnsi="宋体" w:eastAsia="宋体" w:cs="宋体"/>
          <w:color w:val="auto"/>
          <w:highlight w:val="none"/>
        </w:rPr>
      </w:pPr>
      <w:r>
        <w:rPr>
          <w:rFonts w:hint="eastAsia" w:ascii="宋体" w:hAnsi="宋体" w:eastAsia="宋体" w:cs="宋体"/>
          <w:b/>
          <w:color w:val="auto"/>
          <w:highlight w:val="none"/>
        </w:rPr>
        <w:t>5、</w:t>
      </w:r>
      <w:r>
        <w:rPr>
          <w:rFonts w:hint="eastAsia" w:ascii="宋体" w:hAnsi="宋体" w:eastAsia="宋体" w:cs="宋体"/>
          <w:color w:val="auto"/>
          <w:highlight w:val="none"/>
        </w:rPr>
        <w:t>招标文件的约束力</w:t>
      </w:r>
    </w:p>
    <w:p w14:paraId="4D7D298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5.1 投标人一旦参加本项目采购活动，即被认为接受了本招标文件的规定和约束。</w:t>
      </w:r>
    </w:p>
    <w:p w14:paraId="2DB5BE26">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57" w:name="_Toc20823281"/>
      <w:bookmarkStart w:id="58" w:name="_Toc16938525"/>
      <w:bookmarkStart w:id="59" w:name="_Toc120614215"/>
      <w:bookmarkStart w:id="60" w:name="_Toc513029209"/>
      <w:r>
        <w:rPr>
          <w:rFonts w:hint="eastAsia" w:ascii="宋体" w:hAnsi="宋体" w:eastAsia="宋体" w:cs="宋体"/>
          <w:b/>
          <w:color w:val="auto"/>
          <w:highlight w:val="none"/>
        </w:rPr>
        <w:t>二、招标文件</w:t>
      </w:r>
      <w:bookmarkEnd w:id="57"/>
      <w:bookmarkEnd w:id="58"/>
      <w:bookmarkEnd w:id="59"/>
      <w:bookmarkEnd w:id="60"/>
    </w:p>
    <w:p w14:paraId="196958A2">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61" w:name="_Toc513029210"/>
      <w:bookmarkStart w:id="62" w:name="_Toc16938526"/>
      <w:bookmarkStart w:id="63" w:name="_Toc20823282"/>
      <w:r>
        <w:rPr>
          <w:rFonts w:hint="eastAsia" w:ascii="宋体" w:hAnsi="宋体" w:eastAsia="宋体" w:cs="宋体"/>
          <w:color w:val="auto"/>
          <w:highlight w:val="none"/>
        </w:rPr>
        <w:t>6、招标文件构成</w:t>
      </w:r>
      <w:bookmarkEnd w:id="61"/>
      <w:bookmarkEnd w:id="62"/>
      <w:bookmarkEnd w:id="63"/>
    </w:p>
    <w:p w14:paraId="56B17E6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3DB6B09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（1）招标公告</w:t>
      </w:r>
    </w:p>
    <w:p w14:paraId="24BC33E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（2）投标人须知</w:t>
      </w:r>
    </w:p>
    <w:p w14:paraId="4AF4505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（3）合同文本</w:t>
      </w:r>
    </w:p>
    <w:p w14:paraId="45FC09A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（4）采购需求</w:t>
      </w:r>
    </w:p>
    <w:p w14:paraId="6E60CDE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（5）评标方法与评标标准</w:t>
      </w:r>
    </w:p>
    <w:p w14:paraId="782DEB7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（6）投标文件格式</w:t>
      </w:r>
    </w:p>
    <w:p w14:paraId="090822A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w:t>
      </w:r>
      <w:r>
        <w:rPr>
          <w:rFonts w:hint="eastAsia" w:ascii="宋体" w:hAnsi="宋体" w:eastAsia="宋体" w:cs="宋体"/>
          <w:color w:val="000000"/>
        </w:rPr>
        <w:t>采购</w:t>
      </w:r>
      <w:r>
        <w:rPr>
          <w:rFonts w:hint="eastAsia" w:ascii="宋体" w:hAnsi="宋体" w:eastAsia="宋体" w:cs="宋体"/>
          <w:color w:val="000000"/>
          <w:lang w:val="en-US" w:eastAsia="zh-CN"/>
        </w:rPr>
        <w:t>代理机构</w:t>
      </w:r>
      <w:r>
        <w:rPr>
          <w:rFonts w:hint="eastAsia" w:ascii="宋体" w:hAnsi="宋体" w:eastAsia="宋体" w:cs="宋体"/>
          <w:color w:val="auto"/>
          <w:highlight w:val="none"/>
        </w:rPr>
        <w:t>联系解决。</w:t>
      </w:r>
    </w:p>
    <w:p w14:paraId="0EBF484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A17D293">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64" w:name="_Toc513029211"/>
      <w:bookmarkStart w:id="65" w:name="_Toc16938527"/>
      <w:bookmarkStart w:id="66" w:name="_Toc462564070"/>
      <w:bookmarkStart w:id="67" w:name="_Toc20823283"/>
      <w:r>
        <w:rPr>
          <w:rFonts w:hint="eastAsia" w:ascii="宋体" w:hAnsi="宋体" w:eastAsia="宋体" w:cs="宋体"/>
          <w:color w:val="auto"/>
          <w:highlight w:val="none"/>
        </w:rPr>
        <w:t>7、招标文件的澄清</w:t>
      </w:r>
      <w:bookmarkEnd w:id="64"/>
      <w:bookmarkEnd w:id="65"/>
      <w:bookmarkEnd w:id="66"/>
      <w:bookmarkEnd w:id="67"/>
    </w:p>
    <w:p w14:paraId="3C2C6A1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7.1 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前按招标公告中的通讯地址，以书面形式通知采购人。</w:t>
      </w:r>
    </w:p>
    <w:p w14:paraId="5D56591A">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68" w:name="_Toc16938528"/>
      <w:bookmarkStart w:id="69" w:name="_Toc462564071"/>
      <w:bookmarkStart w:id="70" w:name="_Toc20823284"/>
      <w:bookmarkStart w:id="71" w:name="_Toc513029212"/>
      <w:r>
        <w:rPr>
          <w:rFonts w:hint="eastAsia" w:ascii="宋体" w:hAnsi="宋体" w:eastAsia="宋体" w:cs="宋体"/>
          <w:color w:val="auto"/>
          <w:highlight w:val="none"/>
        </w:rPr>
        <w:t>8、招标文件的修改</w:t>
      </w:r>
      <w:bookmarkEnd w:id="68"/>
      <w:bookmarkEnd w:id="69"/>
      <w:bookmarkEnd w:id="70"/>
      <w:bookmarkEnd w:id="71"/>
    </w:p>
    <w:p w14:paraId="2F79AA4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8.1 在投标截止时间前，采购人可以对招标文件进行修改。</w:t>
      </w:r>
    </w:p>
    <w:p w14:paraId="3364C31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8.2 采购人有权按照法定的要求推迟投标截止日期和开标日期。</w:t>
      </w:r>
    </w:p>
    <w:p w14:paraId="5DA159B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8.3 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江苏政府采购网、盐城市政府采购网公布，补充文件将作为招标文件的组成部分，并对投标人具有约束力。</w:t>
      </w:r>
    </w:p>
    <w:p w14:paraId="1D53D8BF">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72" w:name="_Toc120614216"/>
      <w:bookmarkStart w:id="73" w:name="_Toc462564072"/>
      <w:bookmarkStart w:id="74" w:name="_Toc16938529"/>
      <w:bookmarkStart w:id="75" w:name="_Toc20823285"/>
      <w:bookmarkStart w:id="76" w:name="_Toc513029213"/>
      <w:r>
        <w:rPr>
          <w:rFonts w:hint="eastAsia" w:ascii="宋体" w:hAnsi="宋体" w:eastAsia="宋体" w:cs="宋体"/>
          <w:b/>
          <w:color w:val="auto"/>
          <w:highlight w:val="none"/>
        </w:rPr>
        <w:t>三、投标文件的编制</w:t>
      </w:r>
      <w:bookmarkEnd w:id="72"/>
      <w:bookmarkEnd w:id="73"/>
      <w:bookmarkEnd w:id="74"/>
      <w:bookmarkEnd w:id="75"/>
      <w:bookmarkEnd w:id="76"/>
    </w:p>
    <w:p w14:paraId="72D49A01">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77" w:name="_Toc16938530"/>
      <w:bookmarkStart w:id="78" w:name="_Toc20823286"/>
      <w:bookmarkStart w:id="79" w:name="_Toc462564073"/>
      <w:bookmarkStart w:id="80" w:name="_Toc513029214"/>
      <w:r>
        <w:rPr>
          <w:rFonts w:hint="eastAsia" w:ascii="宋体" w:hAnsi="宋体" w:eastAsia="宋体" w:cs="宋体"/>
          <w:color w:val="auto"/>
          <w:highlight w:val="none"/>
        </w:rPr>
        <w:t>9、投标文件的语言及度量衡单位</w:t>
      </w:r>
      <w:bookmarkEnd w:id="77"/>
      <w:bookmarkEnd w:id="78"/>
      <w:bookmarkEnd w:id="79"/>
      <w:bookmarkEnd w:id="80"/>
    </w:p>
    <w:p w14:paraId="13172AA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9.1 投标人提交的投标文件以及投标人与采购人就有关投标的所有来往通知、函件和文件均应使用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7223C2E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9.2 除技术性能另有规定外，投标文件所使用的度量衡单位，均须采用国家法定计量单位。</w:t>
      </w:r>
    </w:p>
    <w:p w14:paraId="1BA6122F">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81" w:name="_Toc462564074"/>
      <w:bookmarkStart w:id="82" w:name="_Toc20823287"/>
      <w:bookmarkStart w:id="83" w:name="_Toc513029215"/>
      <w:bookmarkStart w:id="84" w:name="_Toc16938531"/>
      <w:r>
        <w:rPr>
          <w:rFonts w:hint="eastAsia" w:ascii="宋体" w:hAnsi="宋体" w:eastAsia="宋体" w:cs="宋体"/>
          <w:color w:val="auto"/>
          <w:highlight w:val="none"/>
        </w:rPr>
        <w:t>10、投标文件构成</w:t>
      </w:r>
      <w:bookmarkEnd w:id="81"/>
      <w:bookmarkEnd w:id="82"/>
      <w:bookmarkEnd w:id="83"/>
      <w:bookmarkEnd w:id="84"/>
    </w:p>
    <w:p w14:paraId="18DA259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10.1 投标人编写的投标文件应包括资格证明文件、符合性证明文件、投标分项报价表、技术要求响应及偏离表、商务要求响应及偏离表、其他证明文件、投标函、开标一览表等部分。</w:t>
      </w:r>
    </w:p>
    <w:p w14:paraId="65F0ABA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10.2 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发布的招标文件不一致，请以中国政府采购网”“江苏政府采购网”“盐城市政府采购网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发布的招标文件为准。</w:t>
      </w:r>
    </w:p>
    <w:p w14:paraId="324B640B">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85" w:name="_Toc513029216"/>
      <w:bookmarkStart w:id="86" w:name="_Toc14577355"/>
      <w:bookmarkStart w:id="87" w:name="_Toc49090507"/>
      <w:bookmarkStart w:id="88" w:name="_Toc14577354"/>
      <w:bookmarkStart w:id="89" w:name="_Toc513029219"/>
      <w:bookmarkStart w:id="90" w:name="_Toc49090509"/>
      <w:bookmarkStart w:id="91" w:name="_Toc49090508"/>
      <w:bookmarkStart w:id="92" w:name="_Toc14577357"/>
      <w:bookmarkStart w:id="93" w:name="_Hlt26670360"/>
      <w:bookmarkStart w:id="94" w:name="_Hlt26668975"/>
      <w:bookmarkStart w:id="95" w:name="_Hlt26954838"/>
      <w:r>
        <w:rPr>
          <w:rFonts w:hint="eastAsia" w:ascii="宋体" w:hAnsi="宋体" w:eastAsia="宋体" w:cs="宋体"/>
          <w:color w:val="auto"/>
          <w:highlight w:val="none"/>
        </w:rPr>
        <w:t>11、证明投标人及投标标的符合招标文件规定的文件</w:t>
      </w:r>
      <w:bookmarkEnd w:id="85"/>
      <w:bookmarkEnd w:id="86"/>
      <w:bookmarkEnd w:id="87"/>
      <w:bookmarkEnd w:id="88"/>
      <w:bookmarkEnd w:id="89"/>
      <w:bookmarkEnd w:id="90"/>
      <w:bookmarkEnd w:id="91"/>
      <w:bookmarkEnd w:id="92"/>
    </w:p>
    <w:p w14:paraId="125F9B4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11.1 投标人应按照招标文件要求提交证明文件，证明其及投标标的符合招标文件规定。</w:t>
      </w:r>
    </w:p>
    <w:p w14:paraId="1C273EF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655C7DA7">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12、投标分项报价表</w:t>
      </w:r>
    </w:p>
    <w:p w14:paraId="659262C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12.1 投标人应按照招标文件规定格式填报投标分项报价表。</w:t>
      </w:r>
    </w:p>
    <w:p w14:paraId="1BAA2A2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11AE69FE">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96" w:name="_Hlt26954848"/>
      <w:bookmarkStart w:id="97" w:name="_Hlt26670482"/>
      <w:bookmarkStart w:id="98" w:name="_Hlt26954846"/>
      <w:bookmarkStart w:id="99" w:name="_Hlt26954731"/>
      <w:bookmarkStart w:id="100" w:name="_Hlt26670486"/>
      <w:r>
        <w:rPr>
          <w:rFonts w:hint="eastAsia" w:ascii="宋体" w:hAnsi="宋体" w:eastAsia="宋体" w:cs="宋体"/>
          <w:color w:val="auto"/>
          <w:highlight w:val="none"/>
        </w:rPr>
        <w:t>13、技术要求响应及偏离表、商务要求响应及偏离表</w:t>
      </w:r>
    </w:p>
    <w:p w14:paraId="3B0DC87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13.1 投标人需对招标文件中的技术要求与商务要求逐项作出响应或偏离，并说明原因。</w:t>
      </w:r>
    </w:p>
    <w:p w14:paraId="5E7B430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13.2 投标人可在投标文件中提供认为需要的其他技术文件或说明。</w:t>
      </w:r>
    </w:p>
    <w:p w14:paraId="5F3F3B15">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14、服务承诺、培训计划、人员安排及其他</w:t>
      </w:r>
    </w:p>
    <w:p w14:paraId="3EE4E47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14.1 投标人需根据招标文件要求提供有关售后服务的管理制度，售后服务机构的分布情况，售后服务人员的数量、素质、技术水平及售后服务的反应能力等。</w:t>
      </w:r>
    </w:p>
    <w:p w14:paraId="5E6C1E0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14.2 投标人需根据招标文件要求提供培训计划。</w:t>
      </w:r>
    </w:p>
    <w:p w14:paraId="5FB60B1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14.3投标人需根据招标文件要求提供所投标的的主要组成部分、功能设计、实现思路及关键技术等。</w:t>
      </w:r>
    </w:p>
    <w:p w14:paraId="7BFB8473">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01" w:name="_Toc49090510"/>
      <w:bookmarkStart w:id="102" w:name="_Toc14577359"/>
      <w:r>
        <w:rPr>
          <w:rFonts w:hint="eastAsia" w:ascii="宋体" w:hAnsi="宋体" w:eastAsia="宋体" w:cs="宋体"/>
          <w:color w:val="auto"/>
          <w:highlight w:val="none"/>
        </w:rPr>
        <w:t>15、投标函和开标一览表</w:t>
      </w:r>
      <w:bookmarkEnd w:id="101"/>
      <w:bookmarkEnd w:id="102"/>
    </w:p>
    <w:p w14:paraId="085968F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15.1 投标人应按照招标文件中提供的格式完整、正确填写投标函、开标一览表。</w:t>
      </w:r>
    </w:p>
    <w:p w14:paraId="6FF4555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15.2 对于采用货币报价的项目，开标一览表中的投标总报价应与投标分项报价表中的投标总报价一致，如不一致，不作为无效投标处理，但评标时按开标一览表中价格为准。</w:t>
      </w:r>
    </w:p>
    <w:p w14:paraId="06B032A6">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03" w:name="_Toc14577360"/>
      <w:bookmarkStart w:id="104" w:name="_Toc49090511"/>
      <w:r>
        <w:rPr>
          <w:rFonts w:hint="eastAsia" w:ascii="宋体" w:hAnsi="宋体" w:eastAsia="宋体" w:cs="宋体"/>
          <w:color w:val="auto"/>
          <w:highlight w:val="none"/>
        </w:rPr>
        <w:t>16、投标有效期</w:t>
      </w:r>
      <w:bookmarkEnd w:id="103"/>
      <w:bookmarkEnd w:id="104"/>
    </w:p>
    <w:p w14:paraId="345A9C24">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16.1投标有效期为采购人规定的开标之日后</w:t>
      </w:r>
      <w:r>
        <w:rPr>
          <w:rFonts w:hint="eastAsia" w:ascii="宋体" w:hAnsi="宋体" w:eastAsia="宋体" w:cs="宋体"/>
          <w:b/>
          <w:color w:val="auto"/>
          <w:highlight w:val="none"/>
          <w:u w:val="single"/>
        </w:rPr>
        <w:t>九十（90）天</w:t>
      </w:r>
      <w:r>
        <w:rPr>
          <w:rFonts w:hint="eastAsia" w:ascii="宋体" w:hAnsi="宋体" w:eastAsia="宋体" w:cs="宋体"/>
          <w:color w:val="auto"/>
          <w:highlight w:val="none"/>
        </w:rPr>
        <w:t>。投标有效期比规定短的将被视为未实质性响应招标文件而予以拒绝。</w:t>
      </w:r>
    </w:p>
    <w:p w14:paraId="7F8B06EA">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17、投标有效期的延长</w:t>
      </w:r>
    </w:p>
    <w:p w14:paraId="3D653121">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252479AE">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105" w:name="_Toc513029224"/>
      <w:bookmarkStart w:id="106" w:name="_Toc20823296"/>
      <w:bookmarkStart w:id="107" w:name="_Toc120614217"/>
      <w:bookmarkStart w:id="108" w:name="_Toc16938540"/>
      <w:bookmarkStart w:id="109" w:name="_Hlt26954852"/>
      <w:bookmarkStart w:id="110" w:name="_Hlt26954739"/>
      <w:r>
        <w:rPr>
          <w:rFonts w:hint="eastAsia" w:ascii="宋体" w:hAnsi="宋体" w:eastAsia="宋体" w:cs="宋体"/>
          <w:b/>
          <w:color w:val="auto"/>
          <w:highlight w:val="none"/>
        </w:rPr>
        <w:t>四、投标文件的递交</w:t>
      </w:r>
      <w:bookmarkEnd w:id="105"/>
      <w:bookmarkEnd w:id="106"/>
      <w:bookmarkEnd w:id="107"/>
      <w:bookmarkEnd w:id="108"/>
    </w:p>
    <w:p w14:paraId="2A0679E1">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11" w:name="_Toc16938541"/>
      <w:bookmarkStart w:id="112" w:name="_Toc513029225"/>
      <w:bookmarkStart w:id="113" w:name="_Toc20823297"/>
      <w:bookmarkStart w:id="114" w:name="_Toc462564084"/>
      <w:r>
        <w:rPr>
          <w:rFonts w:hint="eastAsia" w:ascii="宋体" w:hAnsi="宋体" w:eastAsia="宋体" w:cs="宋体"/>
          <w:color w:val="auto"/>
          <w:highlight w:val="none"/>
        </w:rPr>
        <w:t>18、电子投标文件</w:t>
      </w:r>
      <w:bookmarkEnd w:id="111"/>
      <w:bookmarkEnd w:id="112"/>
      <w:bookmarkEnd w:id="113"/>
      <w:bookmarkEnd w:id="114"/>
      <w:r>
        <w:rPr>
          <w:rFonts w:hint="eastAsia" w:ascii="宋体" w:hAnsi="宋体" w:eastAsia="宋体" w:cs="宋体"/>
          <w:color w:val="auto"/>
          <w:highlight w:val="none"/>
        </w:rPr>
        <w:t>的递交</w:t>
      </w:r>
    </w:p>
    <w:p w14:paraId="255214C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18.1投标人应当按照《操作手册》规定，在投标截止时间前制作并上传电子投标文件。</w:t>
      </w:r>
      <w:bookmarkStart w:id="115" w:name="_Toc16938542"/>
      <w:bookmarkEnd w:id="115"/>
      <w:bookmarkStart w:id="116" w:name="_Toc20823298"/>
      <w:bookmarkEnd w:id="116"/>
      <w:bookmarkStart w:id="117" w:name="_Toc513029226"/>
    </w:p>
    <w:p w14:paraId="5EB7B039">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19、投标截止日期</w:t>
      </w:r>
    </w:p>
    <w:p w14:paraId="4576D86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19.1 投标人上传电子投标文件的时间不得迟于招标公告中规定的投标截止时间。</w:t>
      </w:r>
    </w:p>
    <w:p w14:paraId="7CF18F2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投标人应充分考虑到网络环境、网络带宽等风险因素，如因投标人自身原因造成的电子投标文件上传不成功的按照本招标文件第二章第27.1.2条规定做无效投标处理。</w:t>
      </w:r>
    </w:p>
    <w:p w14:paraId="13668121">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19.2 采购人可以按照规定，通过修改招标文件酌情延长投标截止日期，在此情况下，投标人的所有权利和义务以及投标人受制的截止日期均应以延长后新的截止日期为准。</w:t>
      </w:r>
    </w:p>
    <w:p w14:paraId="2E8999FE">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18" w:name="_Toc513029227"/>
      <w:bookmarkStart w:id="119" w:name="_Toc20823299"/>
      <w:bookmarkStart w:id="120" w:name="_Toc16938543"/>
      <w:r>
        <w:rPr>
          <w:rFonts w:hint="eastAsia" w:ascii="宋体" w:hAnsi="宋体" w:eastAsia="宋体" w:cs="宋体"/>
          <w:color w:val="auto"/>
          <w:highlight w:val="none"/>
        </w:rPr>
        <w:t>20、投标文件</w:t>
      </w:r>
      <w:bookmarkEnd w:id="118"/>
      <w:bookmarkEnd w:id="119"/>
      <w:bookmarkEnd w:id="120"/>
      <w:r>
        <w:rPr>
          <w:rFonts w:hint="eastAsia" w:ascii="宋体" w:hAnsi="宋体" w:eastAsia="宋体" w:cs="宋体"/>
          <w:color w:val="auto"/>
          <w:highlight w:val="none"/>
        </w:rPr>
        <w:t>的拒收</w:t>
      </w:r>
    </w:p>
    <w:p w14:paraId="4FE6AE0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20.1 采购人拒绝接收在其规定的投标截止时间后上传的任何投标文件。</w:t>
      </w:r>
    </w:p>
    <w:p w14:paraId="4B4B76DA">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21" w:name="_Toc20823300"/>
      <w:bookmarkStart w:id="122" w:name="_Toc513029228"/>
      <w:bookmarkStart w:id="123" w:name="_Toc16938544"/>
      <w:r>
        <w:rPr>
          <w:rFonts w:hint="eastAsia" w:ascii="宋体" w:hAnsi="宋体" w:eastAsia="宋体" w:cs="宋体"/>
          <w:color w:val="auto"/>
          <w:highlight w:val="none"/>
        </w:rPr>
        <w:t>21、投标文件的撤回和修改</w:t>
      </w:r>
      <w:bookmarkEnd w:id="121"/>
      <w:bookmarkEnd w:id="122"/>
      <w:bookmarkEnd w:id="123"/>
    </w:p>
    <w:p w14:paraId="0ADE5E5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21.1 投标文件的撤回</w:t>
      </w:r>
    </w:p>
    <w:p w14:paraId="332634B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21.1.1 电子投标文件的撤回</w:t>
      </w:r>
    </w:p>
    <w:p w14:paraId="6E1A891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35AA696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21.1.2 投标人撤回电子投标文件，则认为其不再参与本项目投标活动。</w:t>
      </w:r>
    </w:p>
    <w:p w14:paraId="0B5425F4">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21.2 投标文件的修改</w:t>
      </w:r>
    </w:p>
    <w:p w14:paraId="18B28A3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21.2.1投标人可在投标截止时间前，对其电子投标文件进行修改，具体操作方法见《操作手册》。</w:t>
      </w:r>
    </w:p>
    <w:p w14:paraId="6562BB6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21.2.2 在投标截止时间之后，投标人不得对其电子投标文件作任何修改。</w:t>
      </w:r>
    </w:p>
    <w:p w14:paraId="153A569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21.3 在投标截止时间至招标文件中规定的投标有效期满之间的这段时间内，投标人不得撤回其投标。</w:t>
      </w:r>
      <w:bookmarkStart w:id="124" w:name="_Toc513029229"/>
      <w:bookmarkStart w:id="125" w:name="_Toc20823301"/>
      <w:bookmarkStart w:id="126" w:name="_Toc16938545"/>
      <w:bookmarkStart w:id="127" w:name="_Toc120614218"/>
    </w:p>
    <w:p w14:paraId="66291DF0">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五、开标与评标</w:t>
      </w:r>
      <w:bookmarkEnd w:id="124"/>
      <w:bookmarkEnd w:id="125"/>
      <w:bookmarkEnd w:id="126"/>
      <w:bookmarkEnd w:id="127"/>
      <w:bookmarkStart w:id="128" w:name="_Toc513029230"/>
      <w:bookmarkStart w:id="129" w:name="_Toc20823302"/>
      <w:bookmarkStart w:id="130" w:name="_Toc16938546"/>
    </w:p>
    <w:p w14:paraId="51DEFA8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22、开标</w:t>
      </w:r>
      <w:bookmarkEnd w:id="128"/>
      <w:bookmarkEnd w:id="129"/>
      <w:bookmarkEnd w:id="130"/>
    </w:p>
    <w:p w14:paraId="6AA791A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22.1 采购人将在招标公告中规定的时间和地点组织公开开标。投标人应当按照《操作手册》规定，参加开标活动和在苏采云系统规定的时间内对投标文件进行解密。</w:t>
      </w:r>
    </w:p>
    <w:p w14:paraId="0CB6567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22.2开标仪式由采购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组织。苏采云系统将自动对项目进行开标，并宣布各投标人名称和投标价格。</w:t>
      </w:r>
    </w:p>
    <w:p w14:paraId="22AABF1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22.3投标人在开标过程中涉及到的投标文件解密、开标结果确认等工作，应按照《操作手册》规定执行。</w:t>
      </w:r>
    </w:p>
    <w:p w14:paraId="1E92E88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22.4投标人如果对开标过程和开标记录有疑义，应当根据《操作手册》规定提出，如苏采云系统中《开标记录表》宣布后5分钟内未提出的，视同认可开标结果。</w:t>
      </w:r>
    </w:p>
    <w:p w14:paraId="60AD49E5">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31" w:name="_Toc513029231"/>
      <w:bookmarkStart w:id="132" w:name="_Toc20823303"/>
      <w:bookmarkStart w:id="133" w:name="_Toc16938547"/>
      <w:r>
        <w:rPr>
          <w:rFonts w:hint="eastAsia" w:ascii="宋体" w:hAnsi="宋体" w:eastAsia="宋体" w:cs="宋体"/>
          <w:color w:val="auto"/>
          <w:highlight w:val="none"/>
        </w:rPr>
        <w:t>23、评标委员会</w:t>
      </w:r>
      <w:bookmarkEnd w:id="131"/>
      <w:bookmarkEnd w:id="132"/>
      <w:bookmarkEnd w:id="133"/>
    </w:p>
    <w:p w14:paraId="00D4CD7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23.1开标后，采购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将立即组织评标委员会（以下简称评委会）进行评标。</w:t>
      </w:r>
    </w:p>
    <w:p w14:paraId="69B991D1">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23.2 评委会由采购人代表和有关技术、经济等方面的专家组成，且人员构成符合政府采购有关规定。</w:t>
      </w:r>
    </w:p>
    <w:p w14:paraId="2C2EAFC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23.3评委会独立工作，负责评审所有投标文件并确定中标候选人。</w:t>
      </w:r>
    </w:p>
    <w:p w14:paraId="50144021">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24．评标过程的保密与公正</w:t>
      </w:r>
    </w:p>
    <w:p w14:paraId="13A0BDD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24.1凡是与审查、澄清、评价和比较投标的有关资料以及授标建议等，采购人、评委、采购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均不得向投标人或与评标无关的其他人员透露。</w:t>
      </w:r>
    </w:p>
    <w:p w14:paraId="0245C1F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24.2在评标过程中，投标人不得以任何行为影响评标过程，否则其投标文件将被作为无效投标文件。</w:t>
      </w:r>
    </w:p>
    <w:p w14:paraId="72547284">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24.3 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和评标委员会不向未中标的投标人解释未中标原因，也不公布评标过程中的相关细节。</w:t>
      </w:r>
    </w:p>
    <w:p w14:paraId="6211BDC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24.4 采用综合评分法的项目，未中标的投标人可于中标结果公告期限届满之日起通过苏采云系统查看自己的评审得分及排序情况。</w:t>
      </w:r>
    </w:p>
    <w:p w14:paraId="7BF11E5D">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34" w:name="_Toc16938548"/>
      <w:bookmarkStart w:id="135" w:name="_Toc513029232"/>
      <w:bookmarkStart w:id="136" w:name="_Toc20823304"/>
      <w:r>
        <w:rPr>
          <w:rFonts w:hint="eastAsia" w:ascii="宋体" w:hAnsi="宋体" w:eastAsia="宋体" w:cs="宋体"/>
          <w:color w:val="auto"/>
          <w:highlight w:val="none"/>
        </w:rPr>
        <w:t>25．投标文件的澄清</w:t>
      </w:r>
      <w:bookmarkEnd w:id="134"/>
      <w:bookmarkEnd w:id="135"/>
      <w:bookmarkEnd w:id="136"/>
    </w:p>
    <w:p w14:paraId="19B819B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37" w:name="_Toc513029233"/>
      <w:bookmarkStart w:id="138" w:name="_Toc16938549"/>
      <w:bookmarkStart w:id="139" w:name="_Toc20823305"/>
      <w:r>
        <w:rPr>
          <w:rFonts w:hint="eastAsia" w:ascii="宋体" w:hAnsi="宋体" w:eastAsia="宋体" w:cs="宋体"/>
          <w:color w:val="auto"/>
          <w:highlight w:val="none"/>
        </w:rPr>
        <w:t>25.1评标期间，评委会对投标文件中含义不明确、同类问题表述不一致或者有明显文字和计算错误的内容，有权要求投标人作出必要的澄清、说明或者补正。</w:t>
      </w:r>
      <w:bookmarkEnd w:id="137"/>
      <w:bookmarkEnd w:id="138"/>
      <w:bookmarkEnd w:id="139"/>
    </w:p>
    <w:p w14:paraId="384BA9A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投标人的澄清、说明或者补正不得超出投标文件的范围或者改变投标文件的实质性内容。评标委员会并非对每个投标人都做澄清要求。</w:t>
      </w:r>
    </w:p>
    <w:p w14:paraId="6D42C47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72A309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25.3 接到评委会澄清、说明和补正要求的投标人如未按规定作出澄清、说明和补正，其风险由投标人自行承担。</w:t>
      </w:r>
    </w:p>
    <w:p w14:paraId="60B69AF6">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26、对投标文件的初审</w:t>
      </w:r>
    </w:p>
    <w:p w14:paraId="0113D29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26.1投标文件初审分为资格审查和符合性审查。</w:t>
      </w:r>
    </w:p>
    <w:p w14:paraId="0E2D59B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26.1.1 资格审查：依据法律法规和招标文件的规定，由采购人对投标文件中的资格证明文件进行审查。资格审查的结论，采购人以书面形式向评委会进行反馈。</w:t>
      </w:r>
    </w:p>
    <w:p w14:paraId="7A74A23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71889C0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接受联合体的项目，两个以上的法人或者其他组织组成一个联合体，以一个供应商的身份共同参加政府采购活动的,联合体成员中任何一方存在不良信用记录的，视同联合体存在不良应用记录。</w:t>
      </w:r>
    </w:p>
    <w:p w14:paraId="04F6AC4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26.1.2 符合性审查：依据招标文件的规定，由评委会从投标文件的有效性、完整性和对招标文件的响应程度进行审查，以确定是否对招标文件的实质性要求作出响应。</w:t>
      </w:r>
    </w:p>
    <w:p w14:paraId="21571F1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26.1.3 未通过资格审查或符合性审查的投标人，采购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将在苏采云系统中告知未通过资格审查或符合性审查的原因，评审结束后，采购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将不再告知未通过资格审查或符合性审查的原因。</w:t>
      </w:r>
    </w:p>
    <w:p w14:paraId="29EE990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26.2在详细评标之前，评委会将首先审查每份投标文件是否实质性响应了招标文件的要求。实质性响应的投标应该是与招标文件要求的条款，没有重大偏离或保留的投标。</w:t>
      </w:r>
    </w:p>
    <w:p w14:paraId="5F45089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2DAF0D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26.3如果投标文件实质上没有响应招标文件的要求，评委会将予以拒绝，投标人不得通过修改或撤销不符合要求的偏离或保留而使其投标成为实质性响应的投标。</w:t>
      </w:r>
    </w:p>
    <w:p w14:paraId="099A0031">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26.4评委会将对确定为实质性响应的投标进行进一步审核，看其是否有计算上或累加上的算术错误，修正错误的原则如下：</w:t>
      </w:r>
    </w:p>
    <w:p w14:paraId="67EB709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5054362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5D50DC3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48F9A64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08129D5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737827F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15167E6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40" w:name="_Toc16938550"/>
      <w:bookmarkStart w:id="141" w:name="_Toc20823306"/>
      <w:bookmarkStart w:id="142" w:name="_Toc513029234"/>
      <w:r>
        <w:rPr>
          <w:rFonts w:hint="eastAsia" w:ascii="宋体" w:hAnsi="宋体" w:eastAsia="宋体" w:cs="宋体"/>
          <w:color w:val="auto"/>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bookmarkEnd w:id="141"/>
      <w:bookmarkEnd w:id="142"/>
    </w:p>
    <w:p w14:paraId="69A59E8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AF81AF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58C3ECE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26.7投标人在开、评标全过程中应保持通信畅通，及时登录苏采云系统查阅、答复相关信息，并安排专人与采购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及评标委员会联系。</w:t>
      </w:r>
    </w:p>
    <w:p w14:paraId="389A5736">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27、无效投标条款和废标条款</w:t>
      </w:r>
    </w:p>
    <w:p w14:paraId="164A42D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43" w:name="_Toc16938551"/>
      <w:bookmarkStart w:id="144" w:name="_Toc20823307"/>
      <w:bookmarkStart w:id="145" w:name="_Toc513029235"/>
      <w:r>
        <w:rPr>
          <w:rFonts w:hint="eastAsia" w:ascii="宋体" w:hAnsi="宋体" w:eastAsia="宋体" w:cs="宋体"/>
          <w:color w:val="auto"/>
          <w:highlight w:val="none"/>
        </w:rPr>
        <w:t>27.1无效投标条款</w:t>
      </w:r>
      <w:bookmarkEnd w:id="143"/>
      <w:bookmarkEnd w:id="144"/>
      <w:bookmarkEnd w:id="145"/>
    </w:p>
    <w:p w14:paraId="65DDB201">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27.1.1 投标人在苏采云系统规定的时间内未成功解密电子投标文件的。</w:t>
      </w:r>
    </w:p>
    <w:p w14:paraId="7E5144B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27.1.2 投标人未按照招标文件要求上传电子投标文件的。</w:t>
      </w:r>
    </w:p>
    <w:p w14:paraId="54B2ECD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27.1.3同一投标人提交两个（含两个）以上不同的投标报价的。</w:t>
      </w:r>
    </w:p>
    <w:p w14:paraId="0F3D5E5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27.1.4投标人不具备招标文件中规定资格要求的。</w:t>
      </w:r>
    </w:p>
    <w:p w14:paraId="0FA78E2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27.1.5投标人的报价超过了采购预算或最高限价的。</w:t>
      </w:r>
    </w:p>
    <w:p w14:paraId="4477DF2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27.1.6未通过符合性审查的。</w:t>
      </w:r>
    </w:p>
    <w:p w14:paraId="41B0AA1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27.1.7不符合招标文件中规定的实质性要求和条件的。</w:t>
      </w:r>
    </w:p>
    <w:p w14:paraId="0725D69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77F502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27.1.9 投标文件含有采购人不能接受的附加条件的。</w:t>
      </w:r>
    </w:p>
    <w:p w14:paraId="036D4D64">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27.1.10投标人不能证明其报价合理性的，评标委员会应当将其作为无效投标处理。</w:t>
      </w:r>
    </w:p>
    <w:p w14:paraId="5C7C5059">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（一）评审过程中出现下列情形之一的，评标委员会应当启动异常低价投标审查程序：</w:t>
      </w:r>
    </w:p>
    <w:p w14:paraId="012785DB">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1.投标报价低于采购项目预算50%的，即投标报价&lt;采购项目预算×50%；</w:t>
      </w:r>
    </w:p>
    <w:p w14:paraId="4A88A834">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2.投标报价低于采购项目最高限价45%的，即投标报价&lt;采购项目最高限价×45%；</w:t>
      </w:r>
    </w:p>
    <w:p w14:paraId="67B6A293">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3.评标委员会认定的供应商报价过低、有可能影响产品质量或者不能诚信履约的其他情形。</w:t>
      </w:r>
    </w:p>
    <w:p w14:paraId="2C35ECF6">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EF070C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471382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27.1.12 投标文件未按照招标文件要求加盖CA电子公章的。</w:t>
      </w:r>
    </w:p>
    <w:p w14:paraId="0E17611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27.1.13其他法律、法规及本招标文件规定的属无效投标的情形。</w:t>
      </w:r>
    </w:p>
    <w:p w14:paraId="6553A81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27.2废标条款</w:t>
      </w:r>
    </w:p>
    <w:p w14:paraId="5685936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27.2.1符合专业条件的供应商或者对招标文件作实质响应的供应商不足三家的。</w:t>
      </w:r>
    </w:p>
    <w:p w14:paraId="4047504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27.2.2出现影响采购公正的违法、违规行为的。</w:t>
      </w:r>
    </w:p>
    <w:p w14:paraId="4C2F3DC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27.2.3因重大变故，采购任务取消的。</w:t>
      </w:r>
    </w:p>
    <w:p w14:paraId="2F2C02C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27.2.4评标委员会认定招标文件存在歧义、重大缺陷导致评审工作无法进行。</w:t>
      </w:r>
    </w:p>
    <w:p w14:paraId="3D494D3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27.2.5 因苏采云系统故障原因造成开标不成功的。</w:t>
      </w:r>
    </w:p>
    <w:p w14:paraId="4B0ADAB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27.3 投标截止时间结束后参加投标的供应商不足三家的处理：</w:t>
      </w:r>
    </w:p>
    <w:p w14:paraId="74C899F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27.3.1如出现投标截止时间结束后参加投标的供应商或者在评标期间对招标文件做出实质响应的供应商不足三家情况，按政府采购相关规定执行。</w:t>
      </w:r>
    </w:p>
    <w:p w14:paraId="1FA04B6A">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146" w:name="_Toc120614219"/>
      <w:r>
        <w:rPr>
          <w:rFonts w:hint="eastAsia" w:ascii="宋体" w:hAnsi="宋体" w:eastAsia="宋体" w:cs="宋体"/>
          <w:b/>
          <w:color w:val="auto"/>
          <w:highlight w:val="none"/>
        </w:rPr>
        <w:t>六、定标</w:t>
      </w:r>
      <w:bookmarkEnd w:id="146"/>
    </w:p>
    <w:p w14:paraId="44CDFC81">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47" w:name="_Toc20823310"/>
      <w:bookmarkStart w:id="148" w:name="_Toc16938554"/>
      <w:bookmarkStart w:id="149" w:name="_Toc513029238"/>
      <w:r>
        <w:rPr>
          <w:rFonts w:hint="eastAsia" w:ascii="宋体" w:hAnsi="宋体" w:eastAsia="宋体" w:cs="宋体"/>
          <w:color w:val="auto"/>
          <w:highlight w:val="none"/>
        </w:rPr>
        <w:t>28、</w:t>
      </w:r>
      <w:bookmarkEnd w:id="147"/>
      <w:r>
        <w:rPr>
          <w:rFonts w:hint="eastAsia" w:ascii="宋体" w:hAnsi="宋体" w:eastAsia="宋体" w:cs="宋体"/>
          <w:color w:val="auto"/>
          <w:highlight w:val="none"/>
        </w:rPr>
        <w:t>确定</w:t>
      </w:r>
      <w:bookmarkEnd w:id="148"/>
      <w:bookmarkEnd w:id="149"/>
      <w:r>
        <w:rPr>
          <w:rFonts w:hint="eastAsia" w:ascii="宋体" w:hAnsi="宋体" w:eastAsia="宋体" w:cs="宋体"/>
          <w:color w:val="auto"/>
          <w:highlight w:val="none"/>
        </w:rPr>
        <w:t>中标单位</w:t>
      </w:r>
    </w:p>
    <w:p w14:paraId="19CFC61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p>
    <w:p w14:paraId="28C9C68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28.2 采购人应根据评委会推荐的中标候选人确定中标人。</w:t>
      </w:r>
    </w:p>
    <w:p w14:paraId="6CDDCD3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28.3 采购人将在“中国政府采购网”“江苏政府采购网”“盐城市政府采购网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发布中标公告，公告期限为1个工作日。</w:t>
      </w:r>
    </w:p>
    <w:p w14:paraId="1848146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28.4</w:t>
      </w:r>
      <w:r>
        <w:rPr>
          <w:rFonts w:ascii="宋体" w:hAnsi="宋体" w:eastAsia="宋体" w:cs="宋体"/>
          <w:color w:val="auto"/>
          <w:highlight w:val="none"/>
        </w:rPr>
        <w:t xml:space="preserve"> </w:t>
      </w:r>
      <w:r>
        <w:rPr>
          <w:rFonts w:hint="eastAsia" w:ascii="宋体" w:hAnsi="宋体" w:eastAsia="宋体" w:cs="宋体"/>
          <w:color w:val="auto"/>
          <w:highlight w:val="none"/>
        </w:rPr>
        <w:t>若有充分证据证明，中标人出现下列情况之一的，一经查实，将被取消中标资格：</w:t>
      </w:r>
    </w:p>
    <w:p w14:paraId="66E083E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28.4.1提供虚假材料谋取中标的。</w:t>
      </w:r>
    </w:p>
    <w:p w14:paraId="4200077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28.4.2向采购人、</w:t>
      </w:r>
      <w:r>
        <w:rPr>
          <w:rFonts w:hint="eastAsia" w:ascii="宋体" w:hAnsi="宋体" w:eastAsia="宋体" w:cs="宋体"/>
          <w:color w:val="000000"/>
        </w:rPr>
        <w:t>采购代理机构</w:t>
      </w:r>
      <w:r>
        <w:rPr>
          <w:rFonts w:hint="eastAsia" w:ascii="宋体" w:hAnsi="宋体" w:eastAsia="宋体" w:cs="宋体"/>
          <w:color w:val="auto"/>
          <w:highlight w:val="none"/>
        </w:rPr>
        <w:t>行贿或者提供其他不正当利益的。</w:t>
      </w:r>
    </w:p>
    <w:p w14:paraId="57B2638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28.4.3属于本文件规定的无效条件，但在评标过程中又未被评委会发现的。</w:t>
      </w:r>
    </w:p>
    <w:p w14:paraId="67992C3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28.4.4与采购人或者其他供应商恶意串通的。</w:t>
      </w:r>
    </w:p>
    <w:p w14:paraId="6DD90BE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28.4.5采取不正当手段诋毁、排挤其他供应商的。</w:t>
      </w:r>
    </w:p>
    <w:p w14:paraId="7262034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50" w:name="_Toc200451960"/>
      <w:r>
        <w:rPr>
          <w:rFonts w:hint="eastAsia" w:ascii="宋体" w:hAnsi="宋体" w:eastAsia="宋体" w:cs="宋体"/>
          <w:color w:val="auto"/>
          <w:highlight w:val="none"/>
        </w:rPr>
        <w:t>28.5</w:t>
      </w:r>
      <w:r>
        <w:rPr>
          <w:rFonts w:ascii="宋体" w:hAnsi="宋体" w:eastAsia="宋体" w:cs="宋体"/>
          <w:color w:val="auto"/>
          <w:highlight w:val="none"/>
        </w:rPr>
        <w:t xml:space="preserve"> </w:t>
      </w:r>
      <w:r>
        <w:rPr>
          <w:rFonts w:hint="eastAsia" w:ascii="宋体" w:hAnsi="宋体" w:eastAsia="宋体" w:cs="宋体"/>
          <w:color w:val="auto"/>
          <w:highlight w:val="none"/>
        </w:rPr>
        <w:t>有下列情形之一的，视为投标人串通投标，投标无效：</w:t>
      </w:r>
      <w:bookmarkEnd w:id="150"/>
    </w:p>
    <w:p w14:paraId="34F1B727">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28.5.1不同投标人的投标文件由同一单位或者个人编制；</w:t>
      </w:r>
    </w:p>
    <w:p w14:paraId="18A84CE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28.5.2不同投标人委托同一单位或者个人办理投标事宜；</w:t>
      </w:r>
    </w:p>
    <w:p w14:paraId="0A924EF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28.5.3 不同投标人的投标文件载明的项目管理成员或者联系人员为同一人；</w:t>
      </w:r>
    </w:p>
    <w:p w14:paraId="009AE0F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28.5.4不同投标人的投标文件异常一致或者投标报价呈规律性差异；</w:t>
      </w:r>
    </w:p>
    <w:p w14:paraId="74D5D780">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29、质疑处理</w:t>
      </w:r>
    </w:p>
    <w:p w14:paraId="26F1EC1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提出质疑的供应商应当是参与所质疑项目采购活动的供应商。潜在供应商依法获取其可质疑的采购文件的，可以对采购文件提出质疑。</w:t>
      </w:r>
    </w:p>
    <w:p w14:paraId="06FE780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7C0C9EC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29.2.1对可以质疑的采购文件提出质疑的，为收到采购文件之日或者采购文件公告期限届满之日；</w:t>
      </w:r>
    </w:p>
    <w:p w14:paraId="47B14A6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29.2.2对采购过程提出质疑的，为各采购程序环节结束之日；</w:t>
      </w:r>
    </w:p>
    <w:p w14:paraId="361E954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29.2.3对中标或者成交结果提出质疑的，为中标或者成交结果公告期限届满之日。</w:t>
      </w:r>
    </w:p>
    <w:p w14:paraId="1F2AF03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rPr>
        <w:t>采购代理机构</w:t>
      </w:r>
      <w:r>
        <w:rPr>
          <w:rFonts w:hint="eastAsia" w:ascii="宋体" w:hAnsi="宋体" w:eastAsia="宋体" w:cs="宋体"/>
          <w:color w:val="auto"/>
          <w:highlight w:val="none"/>
        </w:rPr>
        <w:t>、采购人将只对供应商第一次质疑作出答复。</w:t>
      </w:r>
    </w:p>
    <w:p w14:paraId="34AFA16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7448053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rPr>
        <w:t>采购</w:t>
      </w:r>
      <w:r>
        <w:rPr>
          <w:rFonts w:hint="eastAsia" w:ascii="宋体" w:hAnsi="宋体" w:eastAsia="宋体" w:cs="宋体"/>
          <w:color w:val="000000"/>
          <w:lang w:val="en-US" w:eastAsia="zh-CN"/>
        </w:rPr>
        <w:t>人</w:t>
      </w:r>
      <w:r>
        <w:rPr>
          <w:rFonts w:hint="eastAsia" w:ascii="宋体" w:hAnsi="宋体" w:eastAsia="宋体" w:cs="宋体"/>
          <w:color w:val="auto"/>
          <w:highlight w:val="none"/>
        </w:rPr>
        <w:t>提出，由采购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负责答复。</w:t>
      </w:r>
    </w:p>
    <w:p w14:paraId="6075444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采购人及</w:t>
      </w:r>
      <w:r>
        <w:rPr>
          <w:rFonts w:hint="eastAsia" w:ascii="宋体" w:hAnsi="宋体" w:eastAsia="宋体" w:cs="宋体"/>
          <w:color w:val="000000"/>
        </w:rPr>
        <w:t>采购</w:t>
      </w:r>
      <w:r>
        <w:rPr>
          <w:rFonts w:hint="eastAsia" w:ascii="宋体" w:hAnsi="宋体" w:eastAsia="宋体" w:cs="宋体"/>
          <w:color w:val="000000"/>
          <w:lang w:val="en-US" w:eastAsia="zh-CN"/>
        </w:rPr>
        <w:t>代理机构</w:t>
      </w:r>
      <w:r>
        <w:rPr>
          <w:rFonts w:hint="eastAsia" w:ascii="宋体" w:hAnsi="宋体" w:eastAsia="宋体" w:cs="宋体"/>
          <w:color w:val="auto"/>
          <w:highlight w:val="none"/>
        </w:rPr>
        <w:t>只接收以纸质原件形式送达的质疑,采购人和采购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不接受未填写快递运单的快件。</w:t>
      </w:r>
    </w:p>
    <w:p w14:paraId="37AD707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29.5 以下情形的质疑不予受理</w:t>
      </w:r>
    </w:p>
    <w:p w14:paraId="6973EE1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29.5.1 内容不符合《政府采购质疑和投诉办法》第十二条规定的质疑。</w:t>
      </w:r>
    </w:p>
    <w:p w14:paraId="2C34C44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29.5.2 超出政府采购法定期限的质疑。</w:t>
      </w:r>
    </w:p>
    <w:p w14:paraId="03F25F9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29.5.3 以传真、电子邮件等方式递交的非原件形式的质疑。</w:t>
      </w:r>
    </w:p>
    <w:p w14:paraId="59DD2F6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29.5.4 未参加投标活动的供应商或在投标活动中自身权益未受到损害的供应商所提出的质疑。</w:t>
      </w:r>
    </w:p>
    <w:p w14:paraId="6E21A18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29.5.5供应商组成联合体参加投标，联合体中任何一方或多方未按要求签字、盖章、加盖公章的质疑。</w:t>
      </w:r>
    </w:p>
    <w:p w14:paraId="6668A92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29.6供应商提出书面质疑必须有理、有据，不得捏造事实、提供虚假材料进行恶意质疑。否则，一经查实，</w:t>
      </w:r>
      <w:r>
        <w:rPr>
          <w:rFonts w:hint="eastAsia" w:ascii="宋体" w:hAnsi="宋体" w:eastAsia="宋体" w:cs="宋体"/>
          <w:color w:val="000000"/>
        </w:rPr>
        <w:t>采购</w:t>
      </w:r>
      <w:r>
        <w:rPr>
          <w:rFonts w:hint="eastAsia" w:ascii="宋体" w:hAnsi="宋体" w:eastAsia="宋体" w:cs="宋体"/>
          <w:color w:val="000000"/>
          <w:lang w:val="en-US" w:eastAsia="zh-CN"/>
        </w:rPr>
        <w:t>人</w:t>
      </w:r>
      <w:r>
        <w:rPr>
          <w:rFonts w:hint="eastAsia" w:ascii="宋体" w:hAnsi="宋体" w:eastAsia="宋体" w:cs="宋体"/>
          <w:color w:val="auto"/>
          <w:highlight w:val="none"/>
        </w:rPr>
        <w:t>有权依据政府采购的有关规定，报请政府采购监管部门对该供应商进行相应的行政处罚和记录该供应商的失信信息。</w:t>
      </w:r>
    </w:p>
    <w:p w14:paraId="00940482">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30、中标通知书</w:t>
      </w:r>
    </w:p>
    <w:p w14:paraId="1951608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30.l中标结果确定后，采购</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AFBB05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204CB3BD">
      <w:pPr>
        <w:pStyle w:val="30"/>
        <w:keepNext/>
        <w:keepLines/>
        <w:tabs>
          <w:tab w:val="left" w:pos="9240"/>
        </w:tabs>
        <w:spacing w:beforeAutospacing="0" w:afterAutospacing="0" w:line="520" w:lineRule="exact"/>
        <w:ind w:right="176" w:rightChars="84" w:firstLine="482"/>
        <w:jc w:val="both"/>
        <w:rPr>
          <w:rFonts w:ascii="宋体" w:hAnsi="宋体" w:eastAsia="宋体" w:cs="宋体"/>
          <w:color w:val="auto"/>
          <w:highlight w:val="none"/>
        </w:rPr>
      </w:pPr>
      <w:bookmarkStart w:id="151" w:name="_Toc16938552"/>
      <w:bookmarkStart w:id="152" w:name="_Toc20823308"/>
      <w:bookmarkStart w:id="153" w:name="_Toc513029236"/>
      <w:bookmarkStart w:id="154" w:name="_Toc120614220"/>
      <w:r>
        <w:rPr>
          <w:rFonts w:hint="eastAsia" w:ascii="宋体" w:hAnsi="宋体" w:eastAsia="宋体" w:cs="宋体"/>
          <w:b/>
          <w:color w:val="auto"/>
          <w:highlight w:val="none"/>
        </w:rPr>
        <w:t>七、授予合同</w:t>
      </w:r>
      <w:bookmarkEnd w:id="151"/>
      <w:bookmarkEnd w:id="152"/>
      <w:bookmarkEnd w:id="153"/>
      <w:bookmarkEnd w:id="154"/>
    </w:p>
    <w:p w14:paraId="5C01BFA2">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bookmarkStart w:id="155" w:name="_Toc16938553"/>
      <w:bookmarkStart w:id="156" w:name="_Toc513029237"/>
      <w:bookmarkStart w:id="157" w:name="_Toc20823309"/>
      <w:r>
        <w:rPr>
          <w:rFonts w:hint="eastAsia" w:ascii="宋体" w:hAnsi="宋体" w:eastAsia="宋体" w:cs="宋体"/>
          <w:color w:val="auto"/>
          <w:highlight w:val="none"/>
        </w:rPr>
        <w:t>31. 签订合同</w:t>
      </w:r>
      <w:bookmarkEnd w:id="155"/>
      <w:bookmarkEnd w:id="156"/>
      <w:bookmarkEnd w:id="157"/>
    </w:p>
    <w:p w14:paraId="680EF61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31.l中标人应当在中标通知书发出之日起三十日内，按照招标文件确定的事项与采购人签订政府采购合同。</w:t>
      </w:r>
    </w:p>
    <w:p w14:paraId="0AA4F669">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31.2招标文件、中标人的投标文件及招标过程中有关澄清、承诺文件均应作为合同附件。</w:t>
      </w:r>
    </w:p>
    <w:p w14:paraId="267FB8F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28072552">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32、货物（包含与货物相关的服务）的追加</w:t>
      </w:r>
    </w:p>
    <w:p w14:paraId="4E1461B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624DDED4">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33.政府采购政策功能落实</w:t>
      </w:r>
    </w:p>
    <w:p w14:paraId="16D756C1">
      <w:pPr>
        <w:pStyle w:val="30"/>
        <w:keepNext/>
        <w:keepLines/>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63B48B91">
      <w:pPr>
        <w:pStyle w:val="30"/>
        <w:tabs>
          <w:tab w:val="left" w:pos="9240"/>
        </w:tabs>
        <w:spacing w:beforeAutospacing="0" w:afterAutospacing="0" w:line="520" w:lineRule="exact"/>
        <w:ind w:right="176" w:rightChars="84" w:firstLine="482"/>
        <w:jc w:val="both"/>
        <w:rPr>
          <w:rFonts w:ascii="宋体" w:hAnsi="宋体" w:eastAsia="宋体" w:cs="宋体"/>
          <w:b/>
          <w:color w:val="auto"/>
          <w:highlight w:val="none"/>
        </w:rPr>
      </w:pPr>
      <w:r>
        <w:rPr>
          <w:rFonts w:hint="eastAsia" w:ascii="宋体" w:hAnsi="宋体" w:eastAsia="宋体" w:cs="宋体"/>
          <w:b/>
          <w:color w:val="auto"/>
          <w:highlight w:val="none"/>
        </w:rPr>
        <w:t>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E8A871F">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33.2进口产品</w:t>
      </w:r>
    </w:p>
    <w:p w14:paraId="773BE8A3">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56ABFA1">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33.3中小企业、监狱企业及残疾人福利性单位</w:t>
      </w:r>
    </w:p>
    <w:p w14:paraId="45F91BC0">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33.3.1中小企业定义：</w:t>
      </w:r>
    </w:p>
    <w:p w14:paraId="7FBF3ED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53FD41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41D769A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3AD826A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34CF614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45DBBB8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080F05DC">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6F1672D8">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88162A">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0B006D12">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547FFAE0">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10B8F555">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1907E5A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66E46EBB">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4CB0399E">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E6F781F">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33.3.7本项目是否专门面向中小企业预留采购份额见第一章《招标公告》。</w:t>
      </w:r>
    </w:p>
    <w:p w14:paraId="0BECF886">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62997E1D">
      <w:pPr>
        <w:pStyle w:val="30"/>
        <w:tabs>
          <w:tab w:val="left" w:pos="9240"/>
        </w:tabs>
        <w:spacing w:beforeAutospacing="0" w:afterAutospacing="0" w:line="520" w:lineRule="exact"/>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33.3.9小微企业价格评审优惠的政策：见第五章《评标方法和评标标准》。</w:t>
      </w:r>
    </w:p>
    <w:p w14:paraId="2BAB47F6">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33.4政府采购节能产品、环境标志产品</w:t>
      </w:r>
    </w:p>
    <w:p w14:paraId="376313D3">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4D439421">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DD14E61">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33.5绿色包装</w:t>
      </w:r>
    </w:p>
    <w:p w14:paraId="74C0816B">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64A4622">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33.6政府采购创新产品</w:t>
      </w:r>
    </w:p>
    <w:p w14:paraId="3DF6690B">
      <w:pPr>
        <w:pBdr>
          <w:top w:val="none" w:color="000000" w:sz="0" w:space="0"/>
          <w:left w:val="none" w:color="000000" w:sz="0" w:space="0"/>
          <w:bottom w:val="none" w:color="000000" w:sz="0" w:space="0"/>
          <w:right w:val="none" w:color="000000" w:sz="0" w:space="0"/>
        </w:pBd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采购人优先采购各级政府部门公开发布的有效期内的创新产品、创新服务、首台套、首购首用等《目录》的创新产品。</w:t>
      </w:r>
    </w:p>
    <w:p w14:paraId="450C8E7C">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p>
    <w:p w14:paraId="1679BD6D">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7AABEB9">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33.8履约保证金政策</w:t>
      </w:r>
    </w:p>
    <w:p w14:paraId="26699DD2">
      <w:pPr>
        <w:pStyle w:val="187"/>
        <w:tabs>
          <w:tab w:val="left" w:pos="9240"/>
        </w:tabs>
        <w:spacing w:after="0" w:line="520" w:lineRule="exact"/>
        <w:ind w:left="0"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履约保证金的缴纳形式：</w:t>
      </w:r>
    </w:p>
    <w:p w14:paraId="382DE17C">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C56619C">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 如以履约保函（保险）形式缴纳履约保证金，供应商可通过政府采购电子履约保函（保险）平台（www.jsdzbh.com）在线申请履约保函（保险）。</w:t>
      </w:r>
    </w:p>
    <w:p w14:paraId="2806822E">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254D50D3">
      <w:pPr>
        <w:tabs>
          <w:tab w:val="left" w:pos="1381"/>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34. 预付款制度</w:t>
      </w:r>
    </w:p>
    <w:p w14:paraId="3F58D120">
      <w:pPr>
        <w:tabs>
          <w:tab w:val="left" w:pos="9240"/>
        </w:tabs>
        <w:spacing w:line="52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本项目落实预付款制度，预付款比例为</w:t>
      </w:r>
      <w:r>
        <w:rPr>
          <w:rFonts w:ascii="宋体" w:hAnsi="宋体" w:eastAsia="宋体" w:cs="宋体"/>
          <w:color w:val="auto"/>
          <w:sz w:val="24"/>
          <w:highlight w:val="none"/>
        </w:rPr>
        <w:t>30</w:t>
      </w:r>
      <w:r>
        <w:rPr>
          <w:rFonts w:hint="eastAsia" w:ascii="宋体" w:hAnsi="宋体" w:eastAsia="宋体" w:cs="宋体"/>
          <w:color w:val="auto"/>
          <w:sz w:val="24"/>
          <w:highlight w:val="none"/>
        </w:rPr>
        <w:t>%，在签订合同时，中标、成交供应商明确书面表示无需预付款或者主动要求降低预付款比例的，采购人可就预付款比例作相应调整。</w:t>
      </w:r>
    </w:p>
    <w:p w14:paraId="2AB1E16F">
      <w:pPr>
        <w:pStyle w:val="187"/>
        <w:tabs>
          <w:tab w:val="left" w:pos="9240"/>
        </w:tabs>
        <w:spacing w:after="0" w:line="520" w:lineRule="exact"/>
        <w:ind w:left="0" w:right="176" w:rightChars="84" w:firstLine="482"/>
        <w:rPr>
          <w:rFonts w:ascii="宋体" w:hAnsi="宋体" w:eastAsia="宋体" w:cs="宋体"/>
          <w:color w:val="auto"/>
          <w:sz w:val="24"/>
          <w:highlight w:val="none"/>
        </w:rPr>
      </w:pPr>
    </w:p>
    <w:p w14:paraId="548599EF">
      <w:pPr>
        <w:pStyle w:val="30"/>
        <w:tabs>
          <w:tab w:val="left" w:pos="9240"/>
        </w:tabs>
        <w:spacing w:beforeAutospacing="0" w:afterAutospacing="0"/>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247EC89D">
      <w:pPr>
        <w:pStyle w:val="30"/>
        <w:tabs>
          <w:tab w:val="left" w:pos="9240"/>
        </w:tabs>
        <w:spacing w:beforeAutospacing="0" w:afterAutospacing="0"/>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37422022">
      <w:pPr>
        <w:pStyle w:val="30"/>
        <w:tabs>
          <w:tab w:val="left" w:pos="9240"/>
        </w:tabs>
        <w:spacing w:beforeAutospacing="0" w:afterAutospacing="0"/>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651981F4">
      <w:pPr>
        <w:pStyle w:val="30"/>
        <w:tabs>
          <w:tab w:val="left" w:pos="9240"/>
        </w:tabs>
        <w:spacing w:beforeAutospacing="0" w:afterAutospacing="0"/>
        <w:ind w:right="176" w:rightChars="84" w:firstLine="480"/>
        <w:jc w:val="both"/>
        <w:rPr>
          <w:color w:val="auto"/>
          <w:highlight w:val="none"/>
        </w:rPr>
      </w:pPr>
    </w:p>
    <w:p w14:paraId="40852825">
      <w:pPr>
        <w:pStyle w:val="30"/>
        <w:tabs>
          <w:tab w:val="left" w:pos="9240"/>
        </w:tabs>
        <w:spacing w:beforeAutospacing="0" w:afterAutospacing="0"/>
        <w:ind w:right="176" w:rightChars="84" w:firstLine="480"/>
        <w:jc w:val="both"/>
        <w:rPr>
          <w:color w:val="auto"/>
          <w:highlight w:val="none"/>
        </w:rPr>
      </w:pPr>
    </w:p>
    <w:p w14:paraId="0FD4A43B">
      <w:pPr>
        <w:widowControl/>
        <w:tabs>
          <w:tab w:val="left" w:pos="9240"/>
        </w:tabs>
        <w:spacing w:line="360" w:lineRule="auto"/>
        <w:ind w:right="176" w:rightChars="84"/>
        <w:jc w:val="center"/>
        <w:rPr>
          <w:rFonts w:ascii="黑体" w:hAnsi="黑体" w:eastAsia="黑体" w:cs="宋体"/>
          <w:b/>
          <w:color w:val="auto"/>
          <w:sz w:val="48"/>
          <w:szCs w:val="44"/>
          <w:highlight w:val="none"/>
        </w:rPr>
      </w:pPr>
      <w:r>
        <w:rPr>
          <w:rFonts w:ascii="Calibri" w:hAnsi="Calibri" w:eastAsia="黑体" w:cs="Calibri"/>
          <w:color w:val="auto"/>
          <w:sz w:val="36"/>
          <w:szCs w:val="44"/>
          <w:highlight w:val="none"/>
        </w:rPr>
        <w:t> </w:t>
      </w:r>
      <w:bookmarkStart w:id="158" w:name="_Toc479757211"/>
      <w:bookmarkStart w:id="159" w:name="_Hlt16619350"/>
      <w:bookmarkStart w:id="160" w:name="_Toc462564139"/>
      <w:bookmarkStart w:id="161" w:name="_Toc120614244"/>
      <w:bookmarkStart w:id="162" w:name="_Toc20823346"/>
      <w:bookmarkStart w:id="163" w:name="_Toc16938590"/>
      <w:bookmarkStart w:id="164" w:name="_Hlt16619369"/>
      <w:r>
        <w:rPr>
          <w:rFonts w:hint="eastAsia" w:ascii="黑体" w:hAnsi="黑体" w:eastAsia="黑体" w:cs="宋体"/>
          <w:b/>
          <w:color w:val="auto"/>
          <w:sz w:val="48"/>
          <w:szCs w:val="44"/>
          <w:highlight w:val="none"/>
        </w:rPr>
        <w:t>第三章  合同条款</w:t>
      </w:r>
    </w:p>
    <w:p w14:paraId="1140ADB3">
      <w:pPr>
        <w:tabs>
          <w:tab w:val="left" w:pos="9240"/>
        </w:tabs>
        <w:ind w:right="176" w:rightChars="84"/>
        <w:rPr>
          <w:rFonts w:ascii="宋体" w:hAnsi="宋体" w:cs="宋体"/>
          <w:color w:val="auto"/>
          <w:highlight w:val="none"/>
        </w:rPr>
      </w:pPr>
      <w:bookmarkStart w:id="165" w:name="EB6d2006462e294de090c16e672cecc3bd"/>
      <w:bookmarkEnd w:id="165"/>
    </w:p>
    <w:p w14:paraId="07ADCA49">
      <w:pPr>
        <w:tabs>
          <w:tab w:val="left" w:pos="9240"/>
        </w:tabs>
        <w:ind w:right="176" w:rightChars="84" w:firstLine="602"/>
        <w:jc w:val="center"/>
        <w:rPr>
          <w:rFonts w:ascii="宋体" w:hAnsi="宋体" w:cs="宋体"/>
          <w:color w:val="auto"/>
          <w:sz w:val="30"/>
          <w:highlight w:val="none"/>
        </w:rPr>
      </w:pPr>
      <w:bookmarkStart w:id="166" w:name="_Toc3995"/>
    </w:p>
    <w:p w14:paraId="45F794E5">
      <w:pPr>
        <w:tabs>
          <w:tab w:val="left" w:pos="9240"/>
        </w:tabs>
        <w:ind w:right="176" w:rightChars="84" w:firstLine="602"/>
        <w:jc w:val="center"/>
        <w:rPr>
          <w:rFonts w:ascii="宋体" w:hAnsi="宋体" w:cs="宋体"/>
          <w:color w:val="auto"/>
          <w:sz w:val="30"/>
          <w:highlight w:val="none"/>
        </w:rPr>
      </w:pPr>
    </w:p>
    <w:p w14:paraId="06E9295E">
      <w:pPr>
        <w:tabs>
          <w:tab w:val="left" w:pos="9240"/>
        </w:tabs>
        <w:ind w:right="176" w:rightChars="84" w:firstLine="602"/>
        <w:jc w:val="center"/>
        <w:rPr>
          <w:rFonts w:ascii="宋体" w:hAnsi="宋体" w:cs="宋体"/>
          <w:color w:val="auto"/>
          <w:sz w:val="30"/>
          <w:highlight w:val="none"/>
        </w:rPr>
      </w:pPr>
    </w:p>
    <w:p w14:paraId="1B23B577">
      <w:pPr>
        <w:tabs>
          <w:tab w:val="left" w:pos="9240"/>
        </w:tabs>
        <w:ind w:right="176" w:rightChars="84" w:firstLine="602"/>
        <w:jc w:val="center"/>
        <w:rPr>
          <w:rFonts w:ascii="宋体" w:hAnsi="宋体" w:cs="宋体"/>
          <w:color w:val="auto"/>
          <w:sz w:val="30"/>
          <w:highlight w:val="none"/>
        </w:rPr>
      </w:pPr>
    </w:p>
    <w:p w14:paraId="2BE4C796">
      <w:pPr>
        <w:tabs>
          <w:tab w:val="left" w:pos="9240"/>
        </w:tabs>
        <w:ind w:right="176" w:rightChars="84" w:firstLine="602"/>
        <w:jc w:val="center"/>
        <w:rPr>
          <w:rFonts w:ascii="宋体" w:hAnsi="宋体" w:cs="宋体"/>
          <w:color w:val="auto"/>
          <w:sz w:val="30"/>
          <w:highlight w:val="none"/>
        </w:rPr>
      </w:pPr>
    </w:p>
    <w:p w14:paraId="3963E8AC">
      <w:pPr>
        <w:tabs>
          <w:tab w:val="left" w:pos="9240"/>
        </w:tabs>
        <w:ind w:right="176" w:rightChars="84" w:firstLine="602"/>
        <w:jc w:val="center"/>
        <w:rPr>
          <w:rFonts w:ascii="宋体" w:hAnsi="宋体" w:cs="宋体"/>
          <w:color w:val="auto"/>
          <w:sz w:val="30"/>
          <w:highlight w:val="none"/>
        </w:rPr>
      </w:pPr>
    </w:p>
    <w:p w14:paraId="3AEDCA2B">
      <w:pPr>
        <w:tabs>
          <w:tab w:val="left" w:pos="9240"/>
        </w:tabs>
        <w:ind w:right="176" w:rightChars="84"/>
        <w:jc w:val="center"/>
        <w:rPr>
          <w:rFonts w:ascii="宋体" w:hAnsi="宋体" w:cs="宋体"/>
          <w:color w:val="auto"/>
          <w:sz w:val="52"/>
          <w:szCs w:val="48"/>
          <w:highlight w:val="none"/>
        </w:rPr>
      </w:pPr>
      <w:r>
        <w:rPr>
          <w:rFonts w:hint="eastAsia" w:ascii="宋体" w:hAnsi="宋体" w:cs="宋体"/>
          <w:color w:val="auto"/>
          <w:sz w:val="52"/>
          <w:szCs w:val="48"/>
          <w:highlight w:val="none"/>
        </w:rPr>
        <w:t>政府采购货物买卖合同</w:t>
      </w:r>
    </w:p>
    <w:p w14:paraId="50365AC9">
      <w:pPr>
        <w:tabs>
          <w:tab w:val="left" w:pos="9240"/>
        </w:tabs>
        <w:ind w:right="176" w:rightChars="84" w:firstLine="964"/>
        <w:jc w:val="center"/>
        <w:rPr>
          <w:rFonts w:ascii="宋体" w:hAnsi="宋体" w:cs="宋体"/>
          <w:color w:val="auto"/>
          <w:sz w:val="48"/>
          <w:szCs w:val="48"/>
          <w:highlight w:val="none"/>
        </w:rPr>
      </w:pPr>
    </w:p>
    <w:p w14:paraId="226A78FB">
      <w:pPr>
        <w:tabs>
          <w:tab w:val="left" w:pos="9240"/>
        </w:tabs>
        <w:ind w:right="176" w:rightChars="84" w:firstLine="964"/>
        <w:rPr>
          <w:rFonts w:ascii="宋体" w:hAnsi="宋体" w:cs="宋体"/>
          <w:color w:val="auto"/>
          <w:sz w:val="48"/>
          <w:szCs w:val="48"/>
          <w:highlight w:val="none"/>
        </w:rPr>
      </w:pPr>
    </w:p>
    <w:p w14:paraId="4D7B1343">
      <w:pPr>
        <w:tabs>
          <w:tab w:val="left" w:pos="9240"/>
        </w:tabs>
        <w:ind w:right="176" w:rightChars="84" w:firstLine="964"/>
        <w:rPr>
          <w:rFonts w:ascii="宋体" w:hAnsi="宋体" w:cs="宋体"/>
          <w:color w:val="auto"/>
          <w:sz w:val="48"/>
          <w:szCs w:val="48"/>
          <w:highlight w:val="none"/>
        </w:rPr>
      </w:pPr>
    </w:p>
    <w:p w14:paraId="45C2AF4A">
      <w:pPr>
        <w:tabs>
          <w:tab w:val="left" w:pos="9240"/>
        </w:tabs>
        <w:ind w:right="176" w:rightChars="84" w:firstLine="964"/>
        <w:rPr>
          <w:rFonts w:ascii="宋体" w:hAnsi="宋体" w:cs="宋体"/>
          <w:color w:val="auto"/>
          <w:sz w:val="48"/>
          <w:szCs w:val="48"/>
          <w:highlight w:val="none"/>
        </w:rPr>
      </w:pPr>
    </w:p>
    <w:p w14:paraId="04B4A182">
      <w:pPr>
        <w:tabs>
          <w:tab w:val="left" w:pos="9240"/>
        </w:tabs>
        <w:spacing w:line="360" w:lineRule="auto"/>
        <w:ind w:left="420" w:right="176" w:rightChars="84" w:firstLine="643"/>
        <w:rPr>
          <w:rFonts w:ascii="宋体" w:hAnsi="宋体" w:cs="宋体"/>
          <w:color w:val="auto"/>
          <w:sz w:val="32"/>
          <w:szCs w:val="48"/>
          <w:highlight w:val="none"/>
        </w:rPr>
      </w:pPr>
      <w:r>
        <w:rPr>
          <w:rFonts w:hint="eastAsia" w:ascii="宋体" w:hAnsi="宋体" w:cs="宋体"/>
          <w:color w:val="auto"/>
          <w:sz w:val="32"/>
          <w:szCs w:val="48"/>
          <w:highlight w:val="none"/>
        </w:rPr>
        <w:t>项目名称：</w:t>
      </w:r>
    </w:p>
    <w:p w14:paraId="361FD737">
      <w:pPr>
        <w:tabs>
          <w:tab w:val="left" w:pos="9240"/>
        </w:tabs>
        <w:spacing w:line="360" w:lineRule="auto"/>
        <w:ind w:left="420" w:right="176" w:rightChars="84" w:firstLine="643"/>
        <w:rPr>
          <w:rFonts w:ascii="宋体" w:hAnsi="宋体" w:cs="宋体"/>
          <w:color w:val="auto"/>
          <w:sz w:val="32"/>
          <w:szCs w:val="48"/>
          <w:highlight w:val="none"/>
        </w:rPr>
      </w:pPr>
      <w:r>
        <w:rPr>
          <w:rFonts w:hint="eastAsia" w:ascii="宋体" w:hAnsi="宋体" w:cs="宋体"/>
          <w:color w:val="auto"/>
          <w:sz w:val="32"/>
          <w:szCs w:val="48"/>
          <w:highlight w:val="none"/>
        </w:rPr>
        <w:t>甲    方：</w:t>
      </w:r>
    </w:p>
    <w:p w14:paraId="63A63175">
      <w:pPr>
        <w:tabs>
          <w:tab w:val="left" w:pos="9240"/>
        </w:tabs>
        <w:spacing w:line="360" w:lineRule="auto"/>
        <w:ind w:left="420" w:right="176" w:rightChars="84" w:firstLine="643"/>
        <w:rPr>
          <w:rFonts w:ascii="宋体" w:hAnsi="宋体" w:cs="宋体"/>
          <w:color w:val="auto"/>
          <w:sz w:val="32"/>
          <w:szCs w:val="48"/>
          <w:highlight w:val="none"/>
        </w:rPr>
      </w:pPr>
      <w:r>
        <w:rPr>
          <w:rFonts w:hint="eastAsia" w:ascii="宋体" w:hAnsi="宋体" w:cs="宋体"/>
          <w:color w:val="auto"/>
          <w:sz w:val="32"/>
          <w:szCs w:val="48"/>
          <w:highlight w:val="none"/>
        </w:rPr>
        <w:t>乙    方：</w:t>
      </w:r>
    </w:p>
    <w:p w14:paraId="2A7A2ED8">
      <w:pPr>
        <w:tabs>
          <w:tab w:val="left" w:pos="9240"/>
        </w:tabs>
        <w:spacing w:line="360" w:lineRule="auto"/>
        <w:ind w:left="420" w:right="176" w:rightChars="84" w:firstLine="643"/>
        <w:rPr>
          <w:rFonts w:ascii="宋体" w:hAnsi="宋体" w:cs="宋体"/>
          <w:color w:val="auto"/>
          <w:sz w:val="32"/>
          <w:szCs w:val="48"/>
          <w:highlight w:val="none"/>
        </w:rPr>
      </w:pPr>
      <w:r>
        <w:rPr>
          <w:rFonts w:hint="eastAsia" w:ascii="宋体" w:hAnsi="宋体" w:cs="宋体"/>
          <w:color w:val="auto"/>
          <w:sz w:val="32"/>
          <w:szCs w:val="48"/>
          <w:highlight w:val="none"/>
        </w:rPr>
        <w:t>签订时间：</w:t>
      </w:r>
    </w:p>
    <w:p w14:paraId="71FBF82F">
      <w:pPr>
        <w:tabs>
          <w:tab w:val="left" w:pos="9240"/>
        </w:tabs>
        <w:ind w:right="176" w:rightChars="84"/>
        <w:rPr>
          <w:color w:val="auto"/>
          <w:highlight w:val="none"/>
        </w:rPr>
      </w:pPr>
    </w:p>
    <w:p w14:paraId="42C69E07">
      <w:pPr>
        <w:tabs>
          <w:tab w:val="left" w:pos="9240"/>
        </w:tabs>
        <w:ind w:right="176" w:rightChars="84" w:firstLine="883"/>
        <w:rPr>
          <w:rFonts w:eastAsia="黑体"/>
          <w:color w:val="auto"/>
          <w:sz w:val="44"/>
          <w:szCs w:val="44"/>
          <w:highlight w:val="none"/>
        </w:rPr>
      </w:pPr>
      <w:r>
        <w:rPr>
          <w:rFonts w:eastAsia="黑体"/>
          <w:color w:val="auto"/>
          <w:sz w:val="44"/>
          <w:szCs w:val="44"/>
          <w:highlight w:val="none"/>
        </w:rPr>
        <w:br w:type="page" w:clear="all"/>
      </w:r>
    </w:p>
    <w:bookmarkEnd w:id="166"/>
    <w:p w14:paraId="68AE2CE2">
      <w:pPr>
        <w:tabs>
          <w:tab w:val="left" w:pos="9240"/>
        </w:tabs>
        <w:ind w:right="176" w:rightChars="84" w:firstLine="883"/>
        <w:rPr>
          <w:rFonts w:eastAsia="黑体"/>
          <w:color w:val="auto"/>
          <w:sz w:val="44"/>
          <w:szCs w:val="44"/>
          <w:highlight w:val="none"/>
        </w:rPr>
        <w:sectPr>
          <w:footerReference r:id="rId3" w:type="default"/>
          <w:pgSz w:w="11906" w:h="16838"/>
          <w:pgMar w:top="1440" w:right="892" w:bottom="1440" w:left="1134" w:header="851" w:footer="992" w:gutter="0"/>
          <w:pgNumType w:fmt="decimal" w:start="1"/>
          <w:cols w:space="425" w:num="1"/>
          <w:docGrid w:linePitch="360" w:charSpace="0"/>
        </w:sectPr>
      </w:pPr>
    </w:p>
    <w:p w14:paraId="70A27815">
      <w:pPr>
        <w:tabs>
          <w:tab w:val="left" w:pos="2472"/>
          <w:tab w:val="left" w:pos="9240"/>
        </w:tabs>
        <w:spacing w:line="480" w:lineRule="exact"/>
        <w:ind w:right="176" w:rightChars="84" w:firstLine="480"/>
        <w:jc w:val="center"/>
        <w:rPr>
          <w:rFonts w:hint="eastAsia" w:ascii="宋体" w:hAnsi="宋体" w:eastAsia="宋体" w:cs="仿宋"/>
          <w:color w:val="auto"/>
          <w:sz w:val="24"/>
          <w:highlight w:val="none"/>
        </w:rPr>
      </w:pPr>
      <w:bookmarkStart w:id="167" w:name="_Toc22209"/>
      <w:r>
        <w:rPr>
          <w:rFonts w:hint="eastAsia" w:ascii="宋体" w:hAnsi="宋体" w:eastAsia="宋体" w:cs="宋体"/>
          <w:b/>
          <w:bCs/>
          <w:color w:val="auto"/>
          <w:sz w:val="32"/>
          <w:szCs w:val="32"/>
          <w:highlight w:val="none"/>
        </w:rPr>
        <w:t>政府采购合同协议书</w:t>
      </w:r>
      <w:bookmarkEnd w:id="167"/>
    </w:p>
    <w:p w14:paraId="7DE75823">
      <w:pPr>
        <w:tabs>
          <w:tab w:val="left" w:pos="2472"/>
          <w:tab w:val="left" w:pos="9240"/>
        </w:tabs>
        <w:spacing w:line="480" w:lineRule="exact"/>
        <w:ind w:right="176" w:rightChars="84" w:firstLine="480"/>
        <w:rPr>
          <w:rFonts w:ascii="宋体" w:hAnsi="宋体" w:eastAsia="宋体" w:cs="仿宋"/>
          <w:color w:val="auto"/>
          <w:sz w:val="24"/>
          <w:highlight w:val="none"/>
          <w:u w:val="single"/>
        </w:rPr>
      </w:pPr>
      <w:r>
        <w:rPr>
          <w:rFonts w:hint="eastAsia" w:ascii="宋体" w:hAnsi="宋体" w:eastAsia="宋体" w:cs="仿宋"/>
          <w:color w:val="auto"/>
          <w:sz w:val="24"/>
          <w:highlight w:val="none"/>
        </w:rPr>
        <w:t>采购人(以下简称甲方)：</w:t>
      </w:r>
      <w:r>
        <w:rPr>
          <w:rFonts w:hint="eastAsia" w:ascii="宋体" w:hAnsi="宋体" w:eastAsia="宋体" w:cs="仿宋"/>
          <w:color w:val="auto"/>
          <w:sz w:val="24"/>
          <w:highlight w:val="none"/>
          <w:u w:val="single"/>
        </w:rPr>
        <w:t>盐城市公安局大丰分局</w:t>
      </w:r>
    </w:p>
    <w:p w14:paraId="7F1B50DD">
      <w:pPr>
        <w:tabs>
          <w:tab w:val="left" w:pos="2472"/>
          <w:tab w:val="left" w:pos="9240"/>
        </w:tabs>
        <w:spacing w:line="480" w:lineRule="exact"/>
        <w:ind w:right="176" w:rightChars="84" w:firstLine="480"/>
        <w:rPr>
          <w:rFonts w:ascii="宋体" w:hAnsi="宋体" w:eastAsia="宋体" w:cs="仿宋"/>
          <w:color w:val="auto"/>
          <w:sz w:val="24"/>
          <w:highlight w:val="none"/>
        </w:rPr>
      </w:pPr>
      <w:r>
        <w:rPr>
          <w:rFonts w:hint="eastAsia" w:ascii="宋体" w:hAnsi="宋体" w:eastAsia="宋体" w:cs="仿宋"/>
          <w:color w:val="auto"/>
          <w:sz w:val="24"/>
          <w:highlight w:val="none"/>
        </w:rPr>
        <w:t>供应商(以下简称乙方)：</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        </w:t>
      </w:r>
    </w:p>
    <w:p w14:paraId="62933361">
      <w:pPr>
        <w:widowControl/>
        <w:tabs>
          <w:tab w:val="left" w:pos="9240"/>
        </w:tabs>
        <w:spacing w:line="480" w:lineRule="exact"/>
        <w:ind w:right="176" w:rightChars="84" w:firstLine="480"/>
        <w:jc w:val="left"/>
        <w:rPr>
          <w:rFonts w:ascii="宋体" w:hAnsi="宋体" w:eastAsia="宋体" w:cs="仿宋"/>
          <w:color w:val="auto"/>
          <w:sz w:val="24"/>
          <w:highlight w:val="none"/>
        </w:rPr>
      </w:pPr>
      <w:r>
        <w:rPr>
          <w:rFonts w:hint="eastAsia" w:ascii="宋体" w:hAnsi="宋体" w:eastAsia="宋体" w:cs="仿宋"/>
          <w:color w:val="auto"/>
          <w:sz w:val="24"/>
          <w:highlight w:val="none"/>
          <w:lang w:val="zh-CN"/>
        </w:rPr>
        <w:t>根据《中华人民共和国民法典》、</w:t>
      </w:r>
      <w:r>
        <w:rPr>
          <w:rFonts w:hint="eastAsia" w:ascii="宋体" w:hAnsi="宋体"/>
          <w:color w:val="auto"/>
          <w:sz w:val="24"/>
          <w:highlight w:val="none"/>
        </w:rPr>
        <w:t>《中华人民共和国政府采购法》等有关的法律法规</w:t>
      </w:r>
      <w:r>
        <w:rPr>
          <w:rFonts w:hint="eastAsia" w:ascii="宋体" w:hAnsi="宋体" w:eastAsia="宋体" w:cs="仿宋"/>
          <w:color w:val="auto"/>
          <w:sz w:val="24"/>
          <w:highlight w:val="none"/>
          <w:lang w:val="zh-CN"/>
        </w:rPr>
        <w:t>，甲乙双方</w:t>
      </w:r>
      <w:r>
        <w:rPr>
          <w:rFonts w:hint="eastAsia" w:ascii="宋体" w:hAnsi="宋体" w:eastAsia="宋体" w:cs="仿宋"/>
          <w:color w:val="auto"/>
          <w:sz w:val="24"/>
          <w:highlight w:val="none"/>
        </w:rPr>
        <w:t>就</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lang w:val="zh-CN"/>
        </w:rPr>
        <w:t>按照招标结果及中标通知书，经协商一致后签订本合同。</w:t>
      </w:r>
    </w:p>
    <w:p w14:paraId="76BD5B85">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一、货物内容</w:t>
      </w:r>
    </w:p>
    <w:p w14:paraId="4DB8EB26">
      <w:pPr>
        <w:pStyle w:val="191"/>
        <w:tabs>
          <w:tab w:val="left" w:pos="9240"/>
        </w:tabs>
        <w:spacing w:before="120" w:after="120" w:line="360" w:lineRule="exact"/>
        <w:ind w:right="176" w:rightChars="84"/>
        <w:rPr>
          <w:rFonts w:hAnsi="宋体"/>
          <w:color w:val="auto"/>
          <w:sz w:val="24"/>
          <w:highlight w:val="none"/>
        </w:rPr>
      </w:pPr>
      <w:r>
        <w:rPr>
          <w:rFonts w:hint="eastAsia" w:hAnsi="宋体"/>
          <w:color w:val="auto"/>
          <w:sz w:val="24"/>
          <w:highlight w:val="none"/>
        </w:rPr>
        <w:t>详见招标文件</w:t>
      </w:r>
    </w:p>
    <w:p w14:paraId="37288842">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二、合同金额</w:t>
      </w:r>
    </w:p>
    <w:p w14:paraId="0FA41225">
      <w:pPr>
        <w:tabs>
          <w:tab w:val="left" w:pos="9240"/>
        </w:tabs>
        <w:spacing w:line="360" w:lineRule="exact"/>
        <w:ind w:right="176" w:rightChars="84" w:firstLine="480"/>
        <w:rPr>
          <w:rFonts w:ascii="宋体" w:hAnsi="宋体"/>
          <w:bCs/>
          <w:color w:val="auto"/>
          <w:sz w:val="24"/>
          <w:highlight w:val="none"/>
        </w:rPr>
      </w:pPr>
      <w:r>
        <w:rPr>
          <w:rFonts w:ascii="宋体" w:hAnsi="宋体"/>
          <w:bCs/>
          <w:color w:val="auto"/>
          <w:sz w:val="24"/>
          <w:highlight w:val="none"/>
        </w:rPr>
        <w:t>2.1 本合同金额为（大写）：________元（_______________元）人民币</w:t>
      </w:r>
      <w:r>
        <w:rPr>
          <w:rFonts w:hint="eastAsia" w:ascii="宋体" w:hAnsi="宋体"/>
          <w:bCs/>
          <w:color w:val="auto"/>
          <w:sz w:val="24"/>
          <w:highlight w:val="none"/>
        </w:rPr>
        <w:t>或其他币种</w:t>
      </w:r>
      <w:r>
        <w:rPr>
          <w:rFonts w:ascii="宋体" w:hAnsi="宋体"/>
          <w:bCs/>
          <w:color w:val="auto"/>
          <w:sz w:val="24"/>
          <w:highlight w:val="none"/>
        </w:rPr>
        <w:t>。</w:t>
      </w:r>
    </w:p>
    <w:p w14:paraId="6AF89FA2">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三、技术资料</w:t>
      </w:r>
    </w:p>
    <w:p w14:paraId="5E4F5C57">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1、乙方应按招标文件规定的时间向甲方提供实现合同目的所需的有关技术资料。</w:t>
      </w:r>
    </w:p>
    <w:p w14:paraId="0C6A954E">
      <w:pPr>
        <w:tabs>
          <w:tab w:val="left" w:pos="9240"/>
        </w:tabs>
        <w:spacing w:line="520" w:lineRule="exact"/>
        <w:ind w:right="176" w:rightChars="84" w:firstLine="482"/>
        <w:rPr>
          <w:rFonts w:ascii="宋体" w:hAnsi="宋体"/>
          <w:bCs/>
          <w:color w:val="auto"/>
          <w:sz w:val="24"/>
          <w:highlight w:val="none"/>
        </w:rPr>
      </w:pPr>
      <w:r>
        <w:rPr>
          <w:rFonts w:hint="eastAsia" w:ascii="宋体" w:hAnsi="宋体" w:eastAsia="宋体" w:cs="Times New Roman"/>
          <w:color w:val="auto"/>
          <w:sz w:val="24"/>
          <w:highlight w:val="none"/>
        </w:rPr>
        <w:t>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p>
    <w:p w14:paraId="4560E4D0">
      <w:pPr>
        <w:pStyle w:val="191"/>
        <w:tabs>
          <w:tab w:val="left" w:pos="9240"/>
        </w:tabs>
        <w:spacing w:before="120" w:after="120" w:line="360" w:lineRule="exact"/>
        <w:ind w:left="412" w:right="176" w:rightChars="84" w:hanging="412"/>
        <w:rPr>
          <w:rFonts w:hAnsi="宋体"/>
          <w:b/>
          <w:color w:val="auto"/>
          <w:sz w:val="24"/>
          <w:highlight w:val="none"/>
        </w:rPr>
      </w:pPr>
      <w:r>
        <w:rPr>
          <w:rFonts w:hAnsi="宋体"/>
          <w:b/>
          <w:color w:val="auto"/>
          <w:sz w:val="24"/>
          <w:highlight w:val="none"/>
        </w:rPr>
        <w:t>四、知识产权</w:t>
      </w:r>
    </w:p>
    <w:p w14:paraId="153FB48D">
      <w:pPr>
        <w:tabs>
          <w:tab w:val="left" w:pos="9240"/>
        </w:tabs>
        <w:spacing w:line="520" w:lineRule="exact"/>
        <w:ind w:right="176" w:rightChars="84" w:firstLine="482"/>
        <w:rPr>
          <w:rFonts w:ascii="宋体" w:hAnsi="宋体"/>
          <w:color w:val="auto"/>
          <w:sz w:val="24"/>
          <w:highlight w:val="none"/>
        </w:rPr>
      </w:pPr>
      <w:r>
        <w:rPr>
          <w:rFonts w:hint="eastAsia" w:ascii="宋体" w:hAnsi="宋体" w:eastAsia="宋体" w:cs="Times New Roman"/>
          <w:color w:val="auto"/>
          <w:sz w:val="24"/>
          <w:highlight w:val="none"/>
        </w:rPr>
        <w:t>甲方提供给乙方的任何计划、方案或资料等以及乙方向甲方交付的方案等服务成果的知识产权属于甲方。乙方应保证所提供的服务或其任何一部分均不会侵犯任何第三方的知识产权</w:t>
      </w:r>
      <w:r>
        <w:rPr>
          <w:rFonts w:hint="eastAsia" w:ascii="宋体" w:hAnsi="宋体" w:eastAsia="宋体" w:cs="Times New Roman"/>
          <w:bCs/>
          <w:color w:val="auto"/>
          <w:sz w:val="24"/>
          <w:highlight w:val="none"/>
        </w:rPr>
        <w:t>。一旦出现侵权，由乙方承担全部责任。</w:t>
      </w:r>
    </w:p>
    <w:p w14:paraId="3DF6D787">
      <w:pPr>
        <w:pStyle w:val="191"/>
        <w:tabs>
          <w:tab w:val="left" w:pos="9240"/>
        </w:tabs>
        <w:spacing w:before="120" w:after="120" w:line="360" w:lineRule="exact"/>
        <w:ind w:right="176" w:rightChars="84"/>
        <w:rPr>
          <w:rFonts w:hAnsi="宋体"/>
          <w:color w:val="auto"/>
          <w:sz w:val="24"/>
          <w:highlight w:val="none"/>
          <w:u w:val="single"/>
        </w:rPr>
      </w:pPr>
      <w:r>
        <w:rPr>
          <w:rFonts w:hAnsi="宋体"/>
          <w:b/>
          <w:color w:val="auto"/>
          <w:sz w:val="24"/>
          <w:highlight w:val="none"/>
        </w:rPr>
        <w:t>五、产权担保</w:t>
      </w:r>
    </w:p>
    <w:p w14:paraId="4B6E434A">
      <w:pPr>
        <w:pStyle w:val="191"/>
        <w:tabs>
          <w:tab w:val="left" w:pos="9240"/>
        </w:tabs>
        <w:spacing w:before="120" w:after="120" w:line="360" w:lineRule="exact"/>
        <w:ind w:right="176" w:rightChars="84" w:firstLine="480"/>
        <w:rPr>
          <w:rFonts w:hAnsi="宋体"/>
          <w:color w:val="auto"/>
          <w:sz w:val="24"/>
          <w:highlight w:val="none"/>
        </w:rPr>
      </w:pPr>
      <w:r>
        <w:rPr>
          <w:rFonts w:hAnsi="宋体"/>
          <w:color w:val="auto"/>
          <w:sz w:val="24"/>
          <w:highlight w:val="none"/>
        </w:rPr>
        <w:t>乙方保证所交付的货物的所有权完全属于乙方且无任何抵押、查封等产权瑕疵。</w:t>
      </w:r>
    </w:p>
    <w:p w14:paraId="5D293396">
      <w:pPr>
        <w:pStyle w:val="191"/>
        <w:tabs>
          <w:tab w:val="left" w:pos="9240"/>
        </w:tabs>
        <w:spacing w:before="120" w:after="120" w:line="360" w:lineRule="exact"/>
        <w:ind w:left="410" w:right="176" w:rightChars="84" w:hanging="410"/>
        <w:rPr>
          <w:rFonts w:hAnsi="宋体"/>
          <w:b/>
          <w:color w:val="auto"/>
          <w:sz w:val="24"/>
          <w:highlight w:val="none"/>
        </w:rPr>
      </w:pPr>
      <w:r>
        <w:rPr>
          <w:rFonts w:hAnsi="宋体"/>
          <w:b/>
          <w:color w:val="auto"/>
          <w:sz w:val="24"/>
          <w:highlight w:val="none"/>
        </w:rPr>
        <w:t>六、履约保证金</w:t>
      </w:r>
    </w:p>
    <w:p w14:paraId="3544E344">
      <w:pPr>
        <w:tabs>
          <w:tab w:val="left" w:pos="9240"/>
        </w:tabs>
        <w:spacing w:line="520" w:lineRule="exact"/>
        <w:ind w:right="176" w:rightChars="84" w:firstLine="482"/>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、乙方交纳人民币_________元作为本合同的履约保证金。</w:t>
      </w:r>
    </w:p>
    <w:p w14:paraId="51705C5C">
      <w:pPr>
        <w:tabs>
          <w:tab w:val="left" w:pos="9240"/>
        </w:tabs>
        <w:spacing w:line="520" w:lineRule="exact"/>
        <w:ind w:right="176" w:rightChars="84" w:firstLine="482"/>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[备注：合同金额的10%，鼓励采购人对AA评级及以上政府采购供应商（需提供信用管理部门备案的第三方信用报告）</w:t>
      </w:r>
      <w:r>
        <w:rPr>
          <w:rFonts w:hint="eastAsia" w:ascii="宋体" w:hAnsi="宋体" w:eastAsia="宋体" w:cs="Times New Roman"/>
          <w:color w:val="auto"/>
          <w:sz w:val="24"/>
          <w:highlight w:val="none"/>
          <w:lang w:val="en-US" w:eastAsia="zh-CN"/>
        </w:rPr>
        <w:t>免收履约保证金或降低履约保证金缴纳比例</w:t>
      </w:r>
      <w:r>
        <w:rPr>
          <w:rFonts w:hint="eastAsia" w:ascii="宋体" w:hAnsi="宋体" w:eastAsia="宋体" w:cs="Times New Roman"/>
          <w:color w:val="auto"/>
          <w:sz w:val="24"/>
          <w:highlight w:val="none"/>
        </w:rPr>
        <w:t>。依据《关于在全省政府采购领域推行电子履约保函（保险）的通知》，鼓励供应商自愿使用履约保函（保险）代替缴纳履约保证金，可以通过政府采购电子履约保函（保险）平台（www.jsdzbh.com）在线申请履约保函（保险）]</w:t>
      </w:r>
      <w:r>
        <w:rPr>
          <w:rFonts w:hint="eastAsia" w:ascii="宋体" w:hAnsi="宋体" w:eastAsia="宋体" w:cs="Times New Roman"/>
          <w:color w:val="auto"/>
          <w:sz w:val="24"/>
          <w:highlight w:val="none"/>
          <w:lang w:eastAsia="zh-CN"/>
        </w:rPr>
        <w:t>。</w:t>
      </w:r>
    </w:p>
    <w:p w14:paraId="276D604D">
      <w:pPr>
        <w:tabs>
          <w:tab w:val="left" w:pos="9240"/>
        </w:tabs>
        <w:spacing w:line="520" w:lineRule="exact"/>
        <w:ind w:right="176" w:rightChars="84" w:firstLine="482"/>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、合同履行结束后，甲方应及时退还交纳的履约保证金。</w:t>
      </w:r>
    </w:p>
    <w:p w14:paraId="1A073A16">
      <w:pPr>
        <w:tabs>
          <w:tab w:val="left" w:pos="9240"/>
        </w:tabs>
        <w:spacing w:line="520" w:lineRule="exact"/>
        <w:ind w:right="176" w:rightChars="84" w:firstLine="482"/>
        <w:rPr>
          <w:rFonts w:ascii="宋体" w:hAnsi="宋体" w:eastAsia="宋体" w:cs="Times New Roman"/>
          <w:color w:val="auto"/>
          <w:sz w:val="24"/>
          <w:highlight w:val="none"/>
        </w:rPr>
      </w:pP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、履约保证金的退还：</w:t>
      </w:r>
    </w:p>
    <w:p w14:paraId="5A89B80B">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3.1方式：无息退还至投标人缴纳履约保证金的账户。如为保函，在到期时自行失效。</w:t>
      </w:r>
    </w:p>
    <w:p w14:paraId="4803D356">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3.2时间：验收合格且采购人收到发票后30日内。</w:t>
      </w:r>
    </w:p>
    <w:p w14:paraId="744F5A88">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3.3条件：按合同要求全部履约完成并经采购人验收合格，且采购人收到中标人出具的发票。</w:t>
      </w:r>
    </w:p>
    <w:p w14:paraId="6563D02B">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3.4不予退还情形：</w:t>
      </w:r>
    </w:p>
    <w:p w14:paraId="279A8DB2">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除不可抗力情况外，投标人出现下列情形之一的，其履约保证金，采购人将视情节决定不予退还或部分不予退还。</w:t>
      </w:r>
    </w:p>
    <w:p w14:paraId="6EF56D3F">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（1）中标人无正当理由拒绝签订合同的，或者在签订合同时向采购人提出附加条件或者更改合同实质性内容要求的；</w:t>
      </w:r>
    </w:p>
    <w:p w14:paraId="180404F3">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（2）中标人不履行与采购人订立的合同的；</w:t>
      </w:r>
    </w:p>
    <w:p w14:paraId="2CED4B57">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（3）中标人所供货物或服务不符合招标文件规定要求的；</w:t>
      </w:r>
    </w:p>
    <w:p w14:paraId="7DC356AD">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（4）中标人采取欺骗、弄虚作假方式投标的或与其它投标人串通投标的；</w:t>
      </w:r>
    </w:p>
    <w:p w14:paraId="021BCB01">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（5）中标人将合同内容转包、违法分包的；</w:t>
      </w:r>
    </w:p>
    <w:p w14:paraId="26CEB995">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（6）中标人故意捏造事实或伪造证明材料，进行虚假恶意投诉或反映的。</w:t>
      </w:r>
    </w:p>
    <w:p w14:paraId="0F5873FB">
      <w:pPr>
        <w:tabs>
          <w:tab w:val="left" w:pos="9240"/>
        </w:tabs>
        <w:spacing w:line="520" w:lineRule="exact"/>
        <w:ind w:right="176" w:rightChars="84" w:firstLine="482"/>
        <w:rPr>
          <w:rFonts w:ascii="宋体" w:hAnsi="宋体" w:eastAsia="宋体" w:cs="Times New Roman"/>
          <w:color w:val="auto"/>
          <w:sz w:val="24"/>
          <w:highlight w:val="none"/>
        </w:rPr>
      </w:pPr>
      <w:r>
        <w:rPr>
          <w:rFonts w:hint="eastAsia" w:ascii="宋体" w:hAnsi="宋体" w:eastAsia="宋体" w:cs="Times New Roman"/>
          <w:color w:val="auto"/>
          <w:sz w:val="24"/>
          <w:highlight w:val="none"/>
        </w:rPr>
        <w:t>3.5逾期退还的违约责任：采购人逾期无故未退还履约保证金的，按中国人民银行同期贷款基准利率上浮20%后的利率支付超期资金占用费，但因供应商自身原因导致无法及时退还的除外。</w:t>
      </w:r>
    </w:p>
    <w:p w14:paraId="094DE795">
      <w:pPr>
        <w:tabs>
          <w:tab w:val="left" w:pos="9240"/>
        </w:tabs>
        <w:spacing w:before="145" w:after="145" w:line="360" w:lineRule="exact"/>
        <w:ind w:right="176" w:rightChars="84"/>
        <w:rPr>
          <w:rFonts w:ascii="宋体" w:hAnsi="宋体"/>
          <w:b/>
          <w:color w:val="auto"/>
          <w:sz w:val="24"/>
          <w:highlight w:val="none"/>
        </w:rPr>
      </w:pPr>
      <w:r>
        <w:rPr>
          <w:rFonts w:hint="eastAsia" w:ascii="宋体" w:hAnsi="宋体"/>
          <w:b/>
          <w:color w:val="auto"/>
          <w:sz w:val="24"/>
          <w:highlight w:val="none"/>
        </w:rPr>
        <w:t>七、转包或分包</w:t>
      </w:r>
    </w:p>
    <w:p w14:paraId="13E527B6">
      <w:pPr>
        <w:tabs>
          <w:tab w:val="left" w:pos="9240"/>
        </w:tabs>
        <w:spacing w:before="145" w:after="145" w:line="360" w:lineRule="exact"/>
        <w:ind w:right="176" w:rightChars="84" w:firstLine="480"/>
        <w:rPr>
          <w:rFonts w:ascii="宋体" w:hAnsi="宋体"/>
          <w:color w:val="auto"/>
          <w:sz w:val="24"/>
          <w:highlight w:val="none"/>
        </w:rPr>
      </w:pPr>
      <w:r>
        <w:rPr>
          <w:rFonts w:ascii="宋体" w:hAnsi="宋体"/>
          <w:color w:val="auto"/>
          <w:sz w:val="24"/>
          <w:highlight w:val="none"/>
        </w:rPr>
        <w:t>1</w:t>
      </w:r>
      <w:r>
        <w:rPr>
          <w:rFonts w:hint="eastAsia" w:ascii="宋体" w:hAnsi="宋体" w:eastAsia="宋体"/>
          <w:color w:val="auto"/>
          <w:sz w:val="24"/>
          <w:highlight w:val="none"/>
        </w:rPr>
        <w:t>、</w:t>
      </w:r>
      <w:r>
        <w:rPr>
          <w:rFonts w:hint="eastAsia" w:ascii="宋体" w:hAnsi="宋体"/>
          <w:color w:val="auto"/>
          <w:sz w:val="24"/>
          <w:highlight w:val="none"/>
        </w:rPr>
        <w:t>本合同范围的货物，应由乙方直接供应，不得转让他人供应；</w:t>
      </w:r>
    </w:p>
    <w:p w14:paraId="03349C40">
      <w:pPr>
        <w:tabs>
          <w:tab w:val="left" w:pos="9240"/>
        </w:tabs>
        <w:spacing w:before="145" w:after="145" w:line="360" w:lineRule="exact"/>
        <w:ind w:right="176" w:rightChars="84" w:firstLine="480"/>
        <w:rPr>
          <w:rFonts w:ascii="宋体" w:hAnsi="宋体"/>
          <w:color w:val="auto"/>
          <w:sz w:val="24"/>
          <w:highlight w:val="none"/>
        </w:rPr>
      </w:pPr>
      <w:r>
        <w:rPr>
          <w:rFonts w:ascii="宋体" w:hAnsi="宋体"/>
          <w:color w:val="auto"/>
          <w:sz w:val="24"/>
          <w:highlight w:val="none"/>
        </w:rPr>
        <w:t>2</w:t>
      </w:r>
      <w:r>
        <w:rPr>
          <w:rFonts w:hint="eastAsia" w:ascii="宋体" w:hAnsi="宋体" w:eastAsia="宋体"/>
          <w:color w:val="auto"/>
          <w:sz w:val="24"/>
          <w:highlight w:val="none"/>
        </w:rPr>
        <w:t>、</w:t>
      </w:r>
      <w:r>
        <w:rPr>
          <w:rFonts w:hint="eastAsia" w:ascii="宋体" w:hAnsi="宋体"/>
          <w:color w:val="auto"/>
          <w:sz w:val="24"/>
          <w:highlight w:val="none"/>
        </w:rPr>
        <w:t>除非得到甲方的书面同意，乙方不得部分分包给他人供应。</w:t>
      </w:r>
    </w:p>
    <w:p w14:paraId="094CEE5C">
      <w:pPr>
        <w:tabs>
          <w:tab w:val="left" w:pos="9240"/>
        </w:tabs>
        <w:spacing w:before="145" w:after="145" w:line="360" w:lineRule="exact"/>
        <w:ind w:right="176" w:rightChars="84" w:firstLine="480"/>
        <w:rPr>
          <w:rFonts w:ascii="宋体" w:hAnsi="宋体"/>
          <w:color w:val="auto"/>
          <w:sz w:val="24"/>
          <w:highlight w:val="none"/>
        </w:rPr>
      </w:pPr>
      <w:r>
        <w:rPr>
          <w:rFonts w:ascii="宋体" w:hAnsi="宋体"/>
          <w:color w:val="auto"/>
          <w:sz w:val="24"/>
          <w:highlight w:val="none"/>
        </w:rPr>
        <w:t>3</w:t>
      </w:r>
      <w:r>
        <w:rPr>
          <w:rFonts w:hint="eastAsia" w:ascii="宋体" w:hAnsi="宋体" w:eastAsia="宋体"/>
          <w:color w:val="auto"/>
          <w:sz w:val="24"/>
          <w:highlight w:val="none"/>
        </w:rPr>
        <w:t>、</w:t>
      </w:r>
      <w:r>
        <w:rPr>
          <w:rFonts w:hint="eastAsia" w:ascii="宋体" w:hAnsi="宋体"/>
          <w:color w:val="auto"/>
          <w:sz w:val="24"/>
          <w:highlight w:val="none"/>
        </w:rPr>
        <w:t>如有转让和未经甲方同意的分包行为，甲方有权给予终止合同。</w:t>
      </w:r>
    </w:p>
    <w:p w14:paraId="3DA22761">
      <w:pPr>
        <w:pStyle w:val="191"/>
        <w:tabs>
          <w:tab w:val="left" w:pos="9240"/>
        </w:tabs>
        <w:spacing w:before="120" w:after="120" w:line="360" w:lineRule="exact"/>
        <w:ind w:right="176" w:rightChars="84"/>
        <w:rPr>
          <w:rFonts w:hAnsi="宋体"/>
          <w:color w:val="auto"/>
          <w:sz w:val="24"/>
          <w:highlight w:val="none"/>
        </w:rPr>
      </w:pPr>
      <w:r>
        <w:rPr>
          <w:rFonts w:hAnsi="宋体"/>
          <w:b/>
          <w:color w:val="auto"/>
          <w:sz w:val="24"/>
          <w:highlight w:val="none"/>
        </w:rPr>
        <w:t>八、质保期</w:t>
      </w:r>
    </w:p>
    <w:p w14:paraId="3BB6E637">
      <w:pPr>
        <w:tabs>
          <w:tab w:val="left" w:pos="9240"/>
        </w:tabs>
        <w:spacing w:line="520" w:lineRule="exact"/>
        <w:ind w:right="176" w:rightChars="84" w:firstLine="482"/>
        <w:rPr>
          <w:rFonts w:ascii="宋体" w:hAnsi="宋体" w:eastAsia="宋体" w:cs="Times New Roman"/>
          <w:color w:val="auto"/>
          <w:sz w:val="24"/>
          <w:highlight w:val="none"/>
        </w:rPr>
      </w:pPr>
      <w:r>
        <w:rPr>
          <w:rFonts w:ascii="宋体" w:hAnsi="宋体" w:eastAsia="宋体" w:cs="Times New Roman"/>
          <w:color w:val="auto"/>
          <w:sz w:val="24"/>
          <w:highlight w:val="none"/>
        </w:rPr>
        <w:t>质保期</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五</w:t>
      </w:r>
      <w:r>
        <w:rPr>
          <w:rFonts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年。</w:t>
      </w:r>
      <w:r>
        <w:rPr>
          <w:rFonts w:hint="eastAsia" w:ascii="宋体" w:hAnsi="宋体" w:eastAsia="宋体" w:cs="Times New Roman"/>
          <w:color w:val="auto"/>
          <w:sz w:val="24"/>
          <w:highlight w:val="none"/>
        </w:rPr>
        <w:t>自整体项目验收合格之日起计，质保期内的设备等其他损害货物均由乙方在甲方要求时间内整修完毕，保证道路、设备安全，由第三方人为因素造成的损坏，由乙方自行处理索赔事务，与甲方无关。</w:t>
      </w:r>
    </w:p>
    <w:p w14:paraId="0F237725">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九、</w:t>
      </w:r>
      <w:r>
        <w:rPr>
          <w:rFonts w:hint="eastAsia" w:hAnsi="宋体"/>
          <w:b/>
          <w:color w:val="auto"/>
          <w:sz w:val="24"/>
          <w:highlight w:val="none"/>
        </w:rPr>
        <w:t>合同履行期限</w:t>
      </w:r>
      <w:r>
        <w:rPr>
          <w:rFonts w:hAnsi="宋体"/>
          <w:b/>
          <w:color w:val="auto"/>
          <w:sz w:val="24"/>
          <w:highlight w:val="none"/>
        </w:rPr>
        <w:t>、交货方式及交货地点</w:t>
      </w:r>
    </w:p>
    <w:p w14:paraId="5702F931">
      <w:pPr>
        <w:pStyle w:val="191"/>
        <w:tabs>
          <w:tab w:val="left" w:pos="9240"/>
        </w:tabs>
        <w:spacing w:before="120" w:after="120" w:line="360" w:lineRule="exact"/>
        <w:ind w:right="176" w:rightChars="84" w:firstLine="480"/>
        <w:rPr>
          <w:rFonts w:hAnsi="宋体"/>
          <w:bCs/>
          <w:color w:val="auto"/>
          <w:sz w:val="24"/>
          <w:highlight w:val="none"/>
        </w:rPr>
      </w:pPr>
      <w:r>
        <w:rPr>
          <w:rFonts w:hAnsi="宋体"/>
          <w:bCs/>
          <w:color w:val="auto"/>
          <w:sz w:val="24"/>
          <w:highlight w:val="none"/>
        </w:rPr>
        <w:t>1</w:t>
      </w:r>
      <w:r>
        <w:rPr>
          <w:rFonts w:hint="eastAsia" w:hAnsi="宋体" w:eastAsia="宋体"/>
          <w:bCs/>
          <w:color w:val="auto"/>
          <w:sz w:val="24"/>
          <w:highlight w:val="none"/>
        </w:rPr>
        <w:t>、</w:t>
      </w:r>
      <w:r>
        <w:rPr>
          <w:rFonts w:hint="eastAsia" w:hAnsi="宋体"/>
          <w:bCs/>
          <w:color w:val="auto"/>
          <w:sz w:val="24"/>
          <w:highlight w:val="none"/>
        </w:rPr>
        <w:t>合同履行期限</w:t>
      </w:r>
      <w:r>
        <w:rPr>
          <w:rFonts w:hAnsi="宋体"/>
          <w:bCs/>
          <w:color w:val="auto"/>
          <w:sz w:val="24"/>
          <w:highlight w:val="none"/>
        </w:rPr>
        <w:t>：</w:t>
      </w:r>
      <w:r>
        <w:rPr>
          <w:rFonts w:hAnsi="宋体"/>
          <w:color w:val="auto"/>
          <w:sz w:val="24"/>
          <w:highlight w:val="none"/>
        </w:rPr>
        <w:t>_________</w:t>
      </w:r>
    </w:p>
    <w:p w14:paraId="39F0A342">
      <w:pPr>
        <w:pStyle w:val="191"/>
        <w:tabs>
          <w:tab w:val="left" w:pos="9240"/>
        </w:tabs>
        <w:spacing w:before="120" w:after="120" w:line="360" w:lineRule="exact"/>
        <w:ind w:right="176" w:rightChars="84" w:firstLine="480"/>
        <w:rPr>
          <w:rFonts w:hAnsi="宋体"/>
          <w:bCs/>
          <w:color w:val="auto"/>
          <w:sz w:val="24"/>
          <w:highlight w:val="none"/>
        </w:rPr>
      </w:pPr>
      <w:r>
        <w:rPr>
          <w:rFonts w:hAnsi="宋体"/>
          <w:bCs/>
          <w:color w:val="auto"/>
          <w:sz w:val="24"/>
          <w:highlight w:val="none"/>
        </w:rPr>
        <w:t>2</w:t>
      </w:r>
      <w:r>
        <w:rPr>
          <w:rFonts w:hint="eastAsia" w:hAnsi="宋体" w:eastAsia="宋体"/>
          <w:bCs/>
          <w:color w:val="auto"/>
          <w:sz w:val="24"/>
          <w:highlight w:val="none"/>
        </w:rPr>
        <w:t>、</w:t>
      </w:r>
      <w:r>
        <w:rPr>
          <w:rFonts w:hAnsi="宋体"/>
          <w:bCs/>
          <w:color w:val="auto"/>
          <w:sz w:val="24"/>
          <w:highlight w:val="none"/>
        </w:rPr>
        <w:t>交货方式：</w:t>
      </w:r>
      <w:r>
        <w:rPr>
          <w:rFonts w:hAnsi="宋体"/>
          <w:color w:val="auto"/>
          <w:sz w:val="24"/>
          <w:highlight w:val="none"/>
        </w:rPr>
        <w:t>_________</w:t>
      </w:r>
    </w:p>
    <w:p w14:paraId="65EAFE45">
      <w:pPr>
        <w:pStyle w:val="191"/>
        <w:tabs>
          <w:tab w:val="left" w:pos="9240"/>
        </w:tabs>
        <w:spacing w:before="120" w:after="120" w:line="360" w:lineRule="exact"/>
        <w:ind w:right="176" w:rightChars="84" w:firstLine="480"/>
        <w:rPr>
          <w:rFonts w:hAnsi="宋体"/>
          <w:b/>
          <w:color w:val="auto"/>
          <w:sz w:val="24"/>
          <w:highlight w:val="none"/>
        </w:rPr>
      </w:pPr>
      <w:r>
        <w:rPr>
          <w:rFonts w:hAnsi="宋体"/>
          <w:bCs/>
          <w:color w:val="auto"/>
          <w:sz w:val="24"/>
          <w:highlight w:val="none"/>
        </w:rPr>
        <w:t>3</w:t>
      </w:r>
      <w:r>
        <w:rPr>
          <w:rFonts w:hint="eastAsia" w:hAnsi="宋体" w:eastAsia="宋体"/>
          <w:bCs/>
          <w:color w:val="auto"/>
          <w:sz w:val="24"/>
          <w:highlight w:val="none"/>
        </w:rPr>
        <w:t>、</w:t>
      </w:r>
      <w:r>
        <w:rPr>
          <w:rFonts w:hAnsi="宋体"/>
          <w:bCs/>
          <w:color w:val="auto"/>
          <w:sz w:val="24"/>
          <w:highlight w:val="none"/>
        </w:rPr>
        <w:t>交货地点：</w:t>
      </w:r>
      <w:r>
        <w:rPr>
          <w:rFonts w:hAnsi="宋体"/>
          <w:color w:val="auto"/>
          <w:sz w:val="24"/>
          <w:highlight w:val="none"/>
        </w:rPr>
        <w:t>_________</w:t>
      </w:r>
    </w:p>
    <w:p w14:paraId="57F92775">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十、货款支付</w:t>
      </w:r>
    </w:p>
    <w:p w14:paraId="4BCEC1C6">
      <w:pPr>
        <w:tabs>
          <w:tab w:val="left" w:pos="9240"/>
        </w:tabs>
        <w:spacing w:line="520" w:lineRule="exact"/>
        <w:ind w:right="176" w:rightChars="84" w:firstLine="482"/>
        <w:rPr>
          <w:rFonts w:hint="eastAsia" w:ascii="宋体" w:hAnsi="宋体" w:eastAsia="宋体" w:cs="Times New Roman"/>
          <w:b/>
          <w:color w:val="auto"/>
          <w:sz w:val="24"/>
          <w:highlight w:val="none"/>
          <w:lang w:eastAsia="zh-CN"/>
        </w:rPr>
      </w:pPr>
      <w:r>
        <w:rPr>
          <w:rFonts w:ascii="宋体" w:hAnsi="宋体"/>
          <w:b/>
          <w:color w:val="auto"/>
          <w:sz w:val="24"/>
          <w:highlight w:val="none"/>
        </w:rPr>
        <w:t>付款方式：</w:t>
      </w:r>
      <w:r>
        <w:rPr>
          <w:rFonts w:hint="eastAsia" w:ascii="宋体" w:hAnsi="宋体" w:eastAsia="宋体" w:cs="Times New Roman"/>
          <w:b/>
          <w:color w:val="auto"/>
          <w:sz w:val="24"/>
          <w:highlight w:val="none"/>
        </w:rPr>
        <w:t>合同签订后付30%预付款，项目验收合格后付至合同价款的</w:t>
      </w:r>
      <w:r>
        <w:rPr>
          <w:rFonts w:hint="eastAsia" w:ascii="宋体" w:hAnsi="宋体" w:eastAsia="宋体" w:cs="Times New Roman"/>
          <w:b/>
          <w:color w:val="auto"/>
          <w:sz w:val="24"/>
          <w:highlight w:val="none"/>
          <w:lang w:val="en-US" w:eastAsia="zh-CN"/>
        </w:rPr>
        <w:t>7</w:t>
      </w:r>
      <w:r>
        <w:rPr>
          <w:rFonts w:hint="eastAsia" w:ascii="宋体" w:hAnsi="宋体" w:eastAsia="宋体" w:cs="Times New Roman"/>
          <w:b/>
          <w:color w:val="auto"/>
          <w:sz w:val="24"/>
          <w:highlight w:val="none"/>
        </w:rPr>
        <w:t>0%，验收合格满一年后付至审核价款的90%，</w:t>
      </w:r>
      <w:r>
        <w:rPr>
          <w:rFonts w:hint="eastAsia" w:ascii="宋体" w:hAnsi="宋体" w:eastAsia="宋体" w:cs="Times New Roman"/>
          <w:b/>
          <w:color w:val="auto"/>
          <w:sz w:val="24"/>
          <w:highlight w:val="none"/>
          <w:lang w:val="en-US" w:eastAsia="zh-CN"/>
        </w:rPr>
        <w:t>余款待质保期满后</w:t>
      </w:r>
      <w:r>
        <w:rPr>
          <w:rFonts w:hint="eastAsia" w:ascii="宋体" w:hAnsi="宋体" w:eastAsia="宋体" w:cs="Times New Roman"/>
          <w:b/>
          <w:color w:val="auto"/>
          <w:sz w:val="24"/>
          <w:highlight w:val="none"/>
        </w:rPr>
        <w:t>一次性结清</w:t>
      </w:r>
      <w:r>
        <w:rPr>
          <w:rFonts w:hint="eastAsia" w:ascii="宋体" w:hAnsi="宋体" w:eastAsia="宋体" w:cs="Times New Roman"/>
          <w:b/>
          <w:color w:val="auto"/>
          <w:sz w:val="24"/>
          <w:highlight w:val="none"/>
          <w:lang w:eastAsia="zh-CN"/>
        </w:rPr>
        <w:t>。</w:t>
      </w:r>
    </w:p>
    <w:p w14:paraId="5E5B16E6">
      <w:pPr>
        <w:tabs>
          <w:tab w:val="left" w:pos="9240"/>
        </w:tabs>
        <w:spacing w:line="520" w:lineRule="exact"/>
        <w:ind w:right="176" w:rightChars="84"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本项目结算须经甲方委托的审核单位审核。甲方按合同约定付款前，乙方应向甲方出具正式、合法的发票，否则甲方有权延迟付款，并不产生违约责任。待合同签订生效后，对满足合同支付条件的，自收到发票后</w:t>
      </w:r>
      <w:r>
        <w:rPr>
          <w:rFonts w:ascii="宋体" w:hAnsi="宋体" w:eastAsia="宋体" w:cs="Times New Roman"/>
          <w:color w:val="auto"/>
          <w:sz w:val="24"/>
          <w:highlight w:val="none"/>
        </w:rPr>
        <w:t>10</w:t>
      </w:r>
      <w:r>
        <w:rPr>
          <w:rFonts w:hint="eastAsia" w:ascii="宋体" w:hAnsi="宋体" w:eastAsia="宋体" w:cs="Times New Roman"/>
          <w:color w:val="auto"/>
          <w:sz w:val="24"/>
          <w:highlight w:val="none"/>
        </w:rPr>
        <w:t>个工作日内支付资金。具体实际按财政保障资金的情况拨付。</w:t>
      </w:r>
    </w:p>
    <w:p w14:paraId="519B09AB">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当采购数量与实际使用数量不一致时，</w:t>
      </w:r>
      <w:r>
        <w:rPr>
          <w:rFonts w:hint="eastAsia" w:ascii="宋体" w:hAnsi="宋体" w:eastAsia="宋体" w:cs="Times New Roman"/>
          <w:color w:val="auto"/>
          <w:sz w:val="24"/>
          <w:highlight w:val="none"/>
        </w:rPr>
        <w:t>乙方</w:t>
      </w:r>
      <w:r>
        <w:rPr>
          <w:rFonts w:ascii="宋体" w:hAnsi="宋体" w:eastAsia="宋体" w:cs="Times New Roman"/>
          <w:color w:val="auto"/>
          <w:sz w:val="24"/>
          <w:highlight w:val="none"/>
        </w:rPr>
        <w:t>应根据实际使用量供货，合同的最终结算金额按实际使用量乘以</w:t>
      </w:r>
      <w:r>
        <w:rPr>
          <w:rFonts w:hint="eastAsia" w:ascii="宋体" w:hAnsi="宋体" w:eastAsia="宋体" w:cs="Times New Roman"/>
          <w:color w:val="auto"/>
          <w:sz w:val="24"/>
          <w:highlight w:val="none"/>
        </w:rPr>
        <w:t>中标</w:t>
      </w:r>
      <w:r>
        <w:rPr>
          <w:rFonts w:ascii="宋体" w:hAnsi="宋体" w:eastAsia="宋体" w:cs="Times New Roman"/>
          <w:color w:val="auto"/>
          <w:sz w:val="24"/>
          <w:highlight w:val="none"/>
        </w:rPr>
        <w:t>单价进行计算。</w:t>
      </w:r>
    </w:p>
    <w:p w14:paraId="44402DC1">
      <w:pPr>
        <w:tabs>
          <w:tab w:val="left" w:pos="9240"/>
        </w:tabs>
        <w:spacing w:line="520" w:lineRule="exact"/>
        <w:ind w:right="176" w:rightChars="84" w:firstLine="480"/>
        <w:rPr>
          <w:rFonts w:ascii="宋体" w:hAnsi="宋体"/>
          <w:color w:val="auto"/>
          <w:sz w:val="24"/>
          <w:highlight w:val="none"/>
        </w:rPr>
      </w:pPr>
      <w:r>
        <w:rPr>
          <w:rFonts w:hint="eastAsia" w:ascii="宋体" w:hAnsi="宋体" w:eastAsia="宋体" w:cs="Times New Roman"/>
          <w:color w:val="auto"/>
          <w:sz w:val="24"/>
          <w:highlight w:val="none"/>
        </w:rPr>
        <w:t>合同款一律通过银行非现金结算，结算方式：转账。</w:t>
      </w:r>
    </w:p>
    <w:p w14:paraId="005CAFCD">
      <w:pPr>
        <w:tabs>
          <w:tab w:val="left" w:pos="9240"/>
        </w:tabs>
        <w:spacing w:before="145" w:after="145" w:line="360" w:lineRule="exact"/>
        <w:ind w:right="176" w:rightChars="84"/>
        <w:rPr>
          <w:rFonts w:ascii="宋体" w:hAnsi="宋体"/>
          <w:b/>
          <w:color w:val="auto"/>
          <w:sz w:val="24"/>
          <w:highlight w:val="none"/>
        </w:rPr>
      </w:pPr>
      <w:r>
        <w:rPr>
          <w:rFonts w:hint="eastAsia" w:ascii="宋体" w:hAnsi="宋体"/>
          <w:b/>
          <w:color w:val="auto"/>
          <w:sz w:val="24"/>
          <w:highlight w:val="none"/>
        </w:rPr>
        <w:t>十一</w:t>
      </w:r>
      <w:r>
        <w:rPr>
          <w:rFonts w:hint="eastAsia" w:ascii="宋体" w:hAnsi="宋体" w:eastAsia="宋体"/>
          <w:b/>
          <w:color w:val="auto"/>
          <w:sz w:val="24"/>
          <w:highlight w:val="none"/>
        </w:rPr>
        <w:t>、</w:t>
      </w:r>
      <w:r>
        <w:rPr>
          <w:rFonts w:hint="eastAsia" w:ascii="宋体" w:hAnsi="宋体"/>
          <w:b/>
          <w:color w:val="auto"/>
          <w:sz w:val="24"/>
          <w:highlight w:val="none"/>
        </w:rPr>
        <w:t>税费</w:t>
      </w:r>
    </w:p>
    <w:p w14:paraId="0F2B3223">
      <w:pPr>
        <w:tabs>
          <w:tab w:val="left" w:pos="9240"/>
        </w:tabs>
        <w:spacing w:before="145" w:after="145" w:line="360" w:lineRule="exact"/>
        <w:ind w:right="176" w:rightChars="84" w:firstLine="480"/>
        <w:rPr>
          <w:rFonts w:ascii="宋体" w:hAnsi="宋体"/>
          <w:color w:val="auto"/>
          <w:sz w:val="24"/>
          <w:highlight w:val="none"/>
        </w:rPr>
      </w:pPr>
      <w:r>
        <w:rPr>
          <w:rFonts w:hint="eastAsia" w:ascii="宋体" w:hAnsi="宋体"/>
          <w:color w:val="auto"/>
          <w:sz w:val="24"/>
          <w:highlight w:val="none"/>
        </w:rPr>
        <w:t>本合同执行中相关的一切税费均由乙方负担。</w:t>
      </w:r>
    </w:p>
    <w:p w14:paraId="3E0216E5">
      <w:pPr>
        <w:pStyle w:val="191"/>
        <w:tabs>
          <w:tab w:val="left" w:pos="9240"/>
        </w:tabs>
        <w:spacing w:before="120" w:after="120" w:line="360" w:lineRule="exact"/>
        <w:ind w:left="412" w:right="176" w:rightChars="84" w:hanging="412"/>
        <w:rPr>
          <w:rFonts w:hAnsi="宋体"/>
          <w:color w:val="auto"/>
          <w:sz w:val="24"/>
          <w:highlight w:val="none"/>
        </w:rPr>
      </w:pPr>
      <w:r>
        <w:rPr>
          <w:rFonts w:hAnsi="宋体"/>
          <w:b/>
          <w:color w:val="auto"/>
          <w:sz w:val="24"/>
          <w:highlight w:val="none"/>
        </w:rPr>
        <w:t>十二、质量保证及售后服务</w:t>
      </w:r>
    </w:p>
    <w:p w14:paraId="2403CFEB">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、乙方应按招标文件规定的货物性能、技术要求、质量标准向甲方提供未经使用的全新产品。</w:t>
      </w:r>
    </w:p>
    <w:p w14:paraId="4A2E4A0B">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、乙方提供的货物在质量期内因货物本身的质量问题发生故障，乙方应负责免费更换。对达不到技术要求者，根据实际情况，经双方协商，可按以下办法处理：</w:t>
      </w:r>
    </w:p>
    <w:p w14:paraId="252B9403">
      <w:pPr>
        <w:tabs>
          <w:tab w:val="left" w:pos="9240"/>
        </w:tabs>
        <w:spacing w:line="520" w:lineRule="exact"/>
        <w:ind w:right="176" w:rightChars="84"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（1）更换：由乙方承担所发生的全部费用。</w:t>
      </w:r>
    </w:p>
    <w:p w14:paraId="110B9EE8">
      <w:pPr>
        <w:tabs>
          <w:tab w:val="left" w:pos="9240"/>
        </w:tabs>
        <w:spacing w:line="520" w:lineRule="exact"/>
        <w:ind w:right="176" w:rightChars="84"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（2）贬值处理：由甲乙双方合议定价。</w:t>
      </w:r>
    </w:p>
    <w:p w14:paraId="46F90029">
      <w:pPr>
        <w:tabs>
          <w:tab w:val="left" w:pos="9240"/>
        </w:tabs>
        <w:spacing w:line="520" w:lineRule="exact"/>
        <w:ind w:right="176" w:rightChars="84"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（3）退货处理：乙方应退还甲方支付的合同款，同时应承担该货物的直接费用（运输、保险、检验、货款利息及银行手续费等）。</w:t>
      </w:r>
    </w:p>
    <w:p w14:paraId="7B94A81D">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如在使用过程中发生质量问题，乙方在接到电话后须在3小时内响应，24小时内到达现场解决问题（如遇特殊情况不能在规定时间内解决的须向甲方提出书面申请，经甲方同意后方可延长维修时间，否则按合同价的万分一/天作为逾期违约处罚，违约金直接从结算价款中扣除），如果需要更换货物或配件，需保证所换货物或配件不低于原配置。如在上述规定时间内不能到位的，甲方有权自行维修或更换，其费用</w:t>
      </w:r>
      <w:r>
        <w:rPr>
          <w:rFonts w:hint="eastAsia" w:ascii="宋体" w:hAnsi="宋体" w:eastAsia="宋体" w:cs="Times New Roman"/>
          <w:color w:val="auto"/>
          <w:sz w:val="24"/>
          <w:highlight w:val="none"/>
          <w:lang w:val="en-US" w:eastAsia="zh-CN"/>
        </w:rPr>
        <w:t>由乙方全部承担</w:t>
      </w:r>
      <w:r>
        <w:rPr>
          <w:rFonts w:hint="eastAsia" w:ascii="宋体" w:hAnsi="宋体" w:eastAsia="宋体" w:cs="Times New Roman"/>
          <w:color w:val="auto"/>
          <w:sz w:val="24"/>
          <w:highlight w:val="none"/>
        </w:rPr>
        <w:t>，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p>
    <w:p w14:paraId="12213F39">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4</w:t>
      </w:r>
      <w:r>
        <w:rPr>
          <w:rFonts w:hint="eastAsia" w:ascii="宋体" w:hAnsi="宋体" w:eastAsia="宋体" w:cs="Times New Roman"/>
          <w:color w:val="auto"/>
          <w:sz w:val="24"/>
          <w:highlight w:val="none"/>
        </w:rPr>
        <w:t>、本项目实施过程中禁止采用“飞线”施工。每发现一处，处以1万元的违约处罚，直接从当期应付合同款项中扣除，同时乙方还须整改到位。如甲方多次通知整改仍拒不整改的，甲方有权终止合同并追究乙方因此造成的损失。</w:t>
      </w:r>
    </w:p>
    <w:p w14:paraId="26B4AC28">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5</w:t>
      </w:r>
      <w:r>
        <w:rPr>
          <w:rFonts w:hint="eastAsia" w:ascii="宋体" w:hAnsi="宋体" w:eastAsia="宋体" w:cs="Times New Roman"/>
          <w:color w:val="auto"/>
          <w:sz w:val="24"/>
          <w:highlight w:val="none"/>
        </w:rPr>
        <w:t>、在质保期内，乙方应确保每月（以每月的23日统计数据为准，注：23日为节假日的，延后到下一个工作日）的监控在线率达</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%及以上，未达到，每低1个百分点，扣除合同价款的</w:t>
      </w:r>
      <w:r>
        <w:rPr>
          <w:rFonts w:hint="eastAsia" w:ascii="宋体" w:hAnsi="宋体" w:eastAsia="宋体" w:cs="Times New Roman"/>
          <w:color w:val="auto"/>
          <w:sz w:val="24"/>
          <w:highlight w:val="none"/>
          <w:lang w:val="en-US" w:eastAsia="zh-CN"/>
        </w:rPr>
        <w:t>千</w:t>
      </w:r>
      <w:r>
        <w:rPr>
          <w:rFonts w:hint="eastAsia" w:ascii="宋体" w:hAnsi="宋体" w:eastAsia="宋体" w:cs="Times New Roman"/>
          <w:color w:val="auto"/>
          <w:sz w:val="24"/>
          <w:highlight w:val="none"/>
        </w:rPr>
        <w:t>分之一，扣款每月进行累计。</w:t>
      </w:r>
    </w:p>
    <w:p w14:paraId="145325A8">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6</w:t>
      </w:r>
      <w:r>
        <w:rPr>
          <w:rFonts w:hint="eastAsia" w:ascii="宋体" w:hAnsi="宋体" w:eastAsia="宋体" w:cs="Times New Roman"/>
          <w:color w:val="auto"/>
          <w:sz w:val="24"/>
          <w:highlight w:val="none"/>
        </w:rPr>
        <w:t>、在质保期内，乙方应对货物出现的质量及安全问题负责处理解决并承担一切费用。</w:t>
      </w:r>
    </w:p>
    <w:p w14:paraId="6C34C9D2">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十三、调试和验收</w:t>
      </w:r>
    </w:p>
    <w:p w14:paraId="134E46FC">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4BC8E41D">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、乙方交货前应对产品作出全面检查和对验收文件进行整理，并列出清单，作为甲方收货验收和使用的技术条件依据，检验的结果应随货物交甲方。</w:t>
      </w:r>
    </w:p>
    <w:p w14:paraId="7D740ED5">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、甲方对乙方提供的货物在使用前进行调试时，乙方需负责安装并培训甲方的使用操作人员，并协助甲方一起调试，直到符合技术要求，甲方才做最终验收。</w:t>
      </w:r>
    </w:p>
    <w:p w14:paraId="63BF44FC">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4</w:t>
      </w:r>
      <w:r>
        <w:rPr>
          <w:rFonts w:hint="eastAsia" w:ascii="宋体" w:hAnsi="宋体" w:eastAsia="宋体" w:cs="Times New Roman"/>
          <w:color w:val="auto"/>
          <w:sz w:val="24"/>
          <w:highlight w:val="none"/>
        </w:rPr>
        <w:t>、对技术复杂的货物，甲方可请国家认可的专业检测机构参与初步验收及最终验收，并由其出具质量检测报告。检测费用由乙方负责。</w:t>
      </w:r>
    </w:p>
    <w:p w14:paraId="42CB671E">
      <w:pPr>
        <w:tabs>
          <w:tab w:val="left" w:pos="9240"/>
        </w:tabs>
        <w:spacing w:line="520" w:lineRule="exact"/>
        <w:ind w:right="176" w:rightChars="84" w:firstLine="480"/>
        <w:rPr>
          <w:rFonts w:ascii="宋体" w:hAnsi="宋体"/>
          <w:color w:val="auto"/>
          <w:sz w:val="24"/>
          <w:highlight w:val="none"/>
        </w:rPr>
      </w:pPr>
      <w:r>
        <w:rPr>
          <w:rFonts w:ascii="宋体" w:hAnsi="宋体" w:eastAsia="宋体" w:cs="Times New Roman"/>
          <w:color w:val="auto"/>
          <w:sz w:val="24"/>
          <w:highlight w:val="none"/>
        </w:rPr>
        <w:t>5</w:t>
      </w:r>
      <w:r>
        <w:rPr>
          <w:rFonts w:hint="eastAsia" w:ascii="宋体" w:hAnsi="宋体" w:eastAsia="宋体" w:cs="Times New Roman"/>
          <w:color w:val="auto"/>
          <w:sz w:val="24"/>
          <w:highlight w:val="none"/>
        </w:rPr>
        <w:t>、验收时乙方必须在现场，验收完毕后作出验收结果报告；验收费用由乙方支付。</w:t>
      </w:r>
    </w:p>
    <w:p w14:paraId="328D1293">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十四、货物包装、发运及运输</w:t>
      </w:r>
    </w:p>
    <w:p w14:paraId="639D4B1C">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、乙方应在货物发运前对其进行满足运输距离、防潮、防震、防锈和防破损装卸等要求包装，以保证货物安全运达甲方指定地点。</w:t>
      </w:r>
    </w:p>
    <w:p w14:paraId="0925429D">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、使用说明书、质量检验证明书、随配附件和工具以及清单一并附于货物内。</w:t>
      </w:r>
    </w:p>
    <w:p w14:paraId="4B4EA4F4">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、乙方在货物发运手续办理完毕后24小时内或货到甲方48小时前通知甲方，以准备接货。</w:t>
      </w:r>
    </w:p>
    <w:p w14:paraId="2A0B8CE7">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4</w:t>
      </w:r>
      <w:r>
        <w:rPr>
          <w:rFonts w:hint="eastAsia" w:ascii="宋体" w:hAnsi="宋体" w:eastAsia="宋体" w:cs="Times New Roman"/>
          <w:color w:val="auto"/>
          <w:sz w:val="24"/>
          <w:highlight w:val="none"/>
        </w:rPr>
        <w:t>、货物在交付甲方前发生的风险均由乙方负责。</w:t>
      </w:r>
    </w:p>
    <w:p w14:paraId="2E5579B8">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5</w:t>
      </w:r>
      <w:r>
        <w:rPr>
          <w:rFonts w:hint="eastAsia" w:ascii="宋体" w:hAnsi="宋体" w:eastAsia="宋体" w:cs="Times New Roman"/>
          <w:color w:val="auto"/>
          <w:sz w:val="24"/>
          <w:highlight w:val="none"/>
        </w:rPr>
        <w:t>、货物在规定的交付期限内由乙方送达甲方指定的地点视为交付，乙方同时需通知甲方货物已送达。</w:t>
      </w:r>
    </w:p>
    <w:p w14:paraId="7D28B9E2">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十五、违约责任</w:t>
      </w:r>
    </w:p>
    <w:p w14:paraId="6B8601B4">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、甲方无正当理由拒收货物的，甲方向乙方偿付拒收货款总值的百分之五违约金。</w:t>
      </w:r>
    </w:p>
    <w:p w14:paraId="79AA74D6">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、甲方无故逾期验收和办理货款支付手续的,甲方应按逾期付款总额每日万分之五向乙方支付违约金。</w:t>
      </w:r>
    </w:p>
    <w:p w14:paraId="6CFF2A4B">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AEE8A53">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4</w:t>
      </w:r>
      <w:r>
        <w:rPr>
          <w:rFonts w:hint="eastAsia" w:ascii="宋体" w:hAnsi="宋体" w:eastAsia="宋体" w:cs="Times New Roman"/>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680BC03">
      <w:pPr>
        <w:tabs>
          <w:tab w:val="left" w:pos="9240"/>
        </w:tabs>
        <w:spacing w:line="520" w:lineRule="exact"/>
        <w:ind w:right="176" w:rightChars="84" w:firstLine="480"/>
        <w:rPr>
          <w:rFonts w:ascii="宋体" w:hAnsi="宋体"/>
          <w:color w:val="auto"/>
          <w:sz w:val="24"/>
          <w:highlight w:val="none"/>
        </w:rPr>
      </w:pPr>
      <w:r>
        <w:rPr>
          <w:rFonts w:ascii="宋体" w:hAnsi="宋体" w:eastAsia="宋体" w:cs="Times New Roman"/>
          <w:color w:val="auto"/>
          <w:sz w:val="24"/>
          <w:highlight w:val="none"/>
        </w:rPr>
        <w:t>5</w:t>
      </w:r>
      <w:r>
        <w:rPr>
          <w:rFonts w:hint="eastAsia" w:ascii="宋体" w:hAnsi="宋体" w:eastAsia="宋体" w:cs="Times New Roman"/>
          <w:color w:val="auto"/>
          <w:sz w:val="24"/>
          <w:highlight w:val="none"/>
        </w:rPr>
        <w:t>、甲方根据上级规范性文件、政策措施及上级行政主管部门要求，变更合同内容、项目实施及解除合同的，乙方承诺予以理解、认可。甲方不承担由此产生的违约责任，但应赔偿乙方实际损失。</w:t>
      </w:r>
    </w:p>
    <w:p w14:paraId="786CF73C">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十六、不可抗力事件处理</w:t>
      </w:r>
    </w:p>
    <w:p w14:paraId="1A17E68D">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在合同有效期内，任何一方因不可抗力事件导致不能履行合同，则合同履行期可延长，其延长期与不可抗力影响期相同。</w:t>
      </w:r>
    </w:p>
    <w:p w14:paraId="40820FC6">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不可抗力事件发生后，应立即通知对方，并寄送有关权威机构出具的证明。</w:t>
      </w:r>
    </w:p>
    <w:p w14:paraId="17F119D9">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3</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不可抗力事件延续120天以上，双方应通过友好协商，确定是否继续履行合同。</w:t>
      </w:r>
    </w:p>
    <w:p w14:paraId="5BDDDB71">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十七、诉讼</w:t>
      </w:r>
    </w:p>
    <w:p w14:paraId="4B6569B4">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双方在执行合同中所发生的一切争议，应通过协商解决。如协商不成，可向合同签订地法院起诉，合同签订地在此约定为</w:t>
      </w:r>
      <w:r>
        <w:rPr>
          <w:rFonts w:hint="eastAsia" w:ascii="宋体" w:hAnsi="宋体" w:eastAsia="宋体" w:cs="Times New Roman"/>
          <w:color w:val="auto"/>
          <w:sz w:val="24"/>
          <w:highlight w:val="none"/>
        </w:rPr>
        <w:t>盐城</w:t>
      </w:r>
      <w:r>
        <w:rPr>
          <w:rFonts w:ascii="宋体" w:hAnsi="宋体" w:eastAsia="宋体" w:cs="Times New Roman"/>
          <w:color w:val="auto"/>
          <w:sz w:val="24"/>
          <w:highlight w:val="none"/>
        </w:rPr>
        <w:t>市</w:t>
      </w:r>
      <w:r>
        <w:rPr>
          <w:rFonts w:hint="eastAsia" w:ascii="宋体" w:hAnsi="宋体" w:eastAsia="宋体" w:cs="Times New Roman"/>
          <w:color w:val="auto"/>
          <w:sz w:val="24"/>
          <w:highlight w:val="none"/>
        </w:rPr>
        <w:t>大丰区</w:t>
      </w:r>
      <w:r>
        <w:rPr>
          <w:rFonts w:ascii="宋体" w:hAnsi="宋体" w:eastAsia="宋体" w:cs="Times New Roman"/>
          <w:color w:val="auto"/>
          <w:sz w:val="24"/>
          <w:highlight w:val="none"/>
        </w:rPr>
        <w:t>。</w:t>
      </w:r>
    </w:p>
    <w:p w14:paraId="76A38EE1">
      <w:pPr>
        <w:pStyle w:val="191"/>
        <w:tabs>
          <w:tab w:val="left" w:pos="9240"/>
        </w:tabs>
        <w:spacing w:before="120" w:after="120" w:line="360" w:lineRule="exact"/>
        <w:ind w:right="176" w:rightChars="84"/>
        <w:rPr>
          <w:rFonts w:hAnsi="宋体"/>
          <w:b/>
          <w:color w:val="auto"/>
          <w:sz w:val="24"/>
          <w:highlight w:val="none"/>
        </w:rPr>
      </w:pPr>
      <w:r>
        <w:rPr>
          <w:rFonts w:hAnsi="宋体"/>
          <w:b/>
          <w:color w:val="auto"/>
          <w:sz w:val="24"/>
          <w:highlight w:val="none"/>
        </w:rPr>
        <w:t>十八、合同生效及其它</w:t>
      </w:r>
    </w:p>
    <w:p w14:paraId="45A5D70E">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合同经双方法定代表人</w:t>
      </w:r>
      <w:r>
        <w:rPr>
          <w:rFonts w:hint="eastAsia" w:ascii="宋体" w:hAnsi="宋体" w:eastAsia="宋体" w:cs="Times New Roman"/>
          <w:color w:val="auto"/>
          <w:sz w:val="24"/>
          <w:highlight w:val="none"/>
        </w:rPr>
        <w:t>（或负责人）</w:t>
      </w:r>
      <w:r>
        <w:rPr>
          <w:rFonts w:ascii="宋体" w:hAnsi="宋体" w:eastAsia="宋体" w:cs="Times New Roman"/>
          <w:color w:val="auto"/>
          <w:sz w:val="24"/>
          <w:highlight w:val="none"/>
        </w:rPr>
        <w:t>或授权委托代</w:t>
      </w:r>
      <w:r>
        <w:rPr>
          <w:rFonts w:hint="eastAsia" w:ascii="宋体" w:hAnsi="宋体" w:eastAsia="宋体" w:cs="Times New Roman"/>
          <w:color w:val="auto"/>
          <w:sz w:val="24"/>
          <w:highlight w:val="none"/>
        </w:rPr>
        <w:t>表</w:t>
      </w:r>
      <w:r>
        <w:rPr>
          <w:rFonts w:ascii="宋体" w:hAnsi="宋体" w:eastAsia="宋体" w:cs="Times New Roman"/>
          <w:color w:val="auto"/>
          <w:sz w:val="24"/>
          <w:highlight w:val="none"/>
        </w:rPr>
        <w:t>人签字并加盖单位公章后生效。</w:t>
      </w:r>
    </w:p>
    <w:p w14:paraId="6A7A769C">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2</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本合同未尽事宜，遵照《</w:t>
      </w:r>
      <w:r>
        <w:rPr>
          <w:rFonts w:hint="eastAsia" w:ascii="宋体" w:hAnsi="宋体" w:eastAsia="宋体" w:cs="Times New Roman"/>
          <w:color w:val="auto"/>
          <w:sz w:val="24"/>
          <w:highlight w:val="none"/>
        </w:rPr>
        <w:t>民</w:t>
      </w:r>
      <w:r>
        <w:rPr>
          <w:rFonts w:ascii="宋体" w:hAnsi="宋体" w:eastAsia="宋体" w:cs="Times New Roman"/>
          <w:color w:val="auto"/>
          <w:sz w:val="24"/>
          <w:highlight w:val="none"/>
        </w:rPr>
        <w:t>法典》有关条文执行。</w:t>
      </w:r>
    </w:p>
    <w:p w14:paraId="0764F54E">
      <w:pPr>
        <w:tabs>
          <w:tab w:val="left" w:pos="9240"/>
        </w:tabs>
        <w:spacing w:line="520" w:lineRule="exact"/>
        <w:ind w:right="176" w:rightChars="84"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本合同一式</w:t>
      </w:r>
      <w:r>
        <w:rPr>
          <w:rFonts w:hint="eastAsia" w:ascii="宋体" w:hAnsi="宋体" w:eastAsia="宋体" w:cs="Times New Roman"/>
          <w:color w:val="auto"/>
          <w:sz w:val="24"/>
          <w:highlight w:val="none"/>
        </w:rPr>
        <w:t>肆</w:t>
      </w:r>
      <w:r>
        <w:rPr>
          <w:rFonts w:ascii="宋体" w:hAnsi="宋体" w:eastAsia="宋体" w:cs="Times New Roman"/>
          <w:color w:val="auto"/>
          <w:sz w:val="24"/>
          <w:highlight w:val="none"/>
        </w:rPr>
        <w:t>份，</w:t>
      </w:r>
      <w:r>
        <w:rPr>
          <w:rFonts w:hint="eastAsia" w:ascii="宋体" w:hAnsi="宋体" w:eastAsia="宋体" w:cs="Times New Roman"/>
          <w:color w:val="auto"/>
          <w:sz w:val="24"/>
          <w:highlight w:val="none"/>
        </w:rPr>
        <w:t>甲乙双方各执贰份。</w:t>
      </w:r>
    </w:p>
    <w:p w14:paraId="327FE18F">
      <w:pPr>
        <w:pStyle w:val="7"/>
        <w:tabs>
          <w:tab w:val="left" w:pos="9240"/>
        </w:tabs>
        <w:ind w:right="176" w:rightChars="84"/>
        <w:rPr>
          <w:color w:val="auto"/>
          <w:highlight w:val="none"/>
        </w:rPr>
      </w:pPr>
    </w:p>
    <w:p w14:paraId="1AD339C2">
      <w:pPr>
        <w:tabs>
          <w:tab w:val="left" w:pos="9240"/>
        </w:tabs>
        <w:ind w:right="176" w:rightChars="84"/>
        <w:rPr>
          <w:color w:val="auto"/>
          <w:highlight w:val="none"/>
        </w:rPr>
      </w:pPr>
    </w:p>
    <w:p w14:paraId="366F559E">
      <w:pPr>
        <w:pStyle w:val="7"/>
        <w:tabs>
          <w:tab w:val="left" w:pos="9240"/>
        </w:tabs>
        <w:ind w:right="176" w:rightChars="84"/>
        <w:rPr>
          <w:color w:val="auto"/>
          <w:highlight w:val="none"/>
        </w:rPr>
      </w:pPr>
    </w:p>
    <w:p w14:paraId="656F54DC">
      <w:pPr>
        <w:tabs>
          <w:tab w:val="left" w:pos="9240"/>
        </w:tabs>
        <w:ind w:right="176" w:rightChars="84"/>
        <w:rPr>
          <w:rFonts w:hint="eastAsia"/>
          <w:color w:val="auto"/>
          <w:highlight w:val="none"/>
        </w:rPr>
      </w:pPr>
    </w:p>
    <w:p w14:paraId="7D50523A">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甲方：                         乙方： </w:t>
      </w:r>
    </w:p>
    <w:p w14:paraId="79B0666B">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地址：                         地址： </w:t>
      </w:r>
    </w:p>
    <w:p w14:paraId="39F25CAE">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法定代表人</w:t>
      </w:r>
      <w:r>
        <w:rPr>
          <w:rFonts w:hint="eastAsia" w:ascii="宋体" w:hAnsi="宋体" w:eastAsia="宋体" w:cs="Times New Roman"/>
          <w:color w:val="auto"/>
          <w:sz w:val="24"/>
          <w:highlight w:val="none"/>
        </w:rPr>
        <w:t>或授权代表</w:t>
      </w:r>
      <w:r>
        <w:rPr>
          <w:rFonts w:ascii="宋体" w:hAnsi="宋体" w:eastAsia="宋体" w:cs="Times New Roman"/>
          <w:color w:val="auto"/>
          <w:sz w:val="24"/>
          <w:highlight w:val="none"/>
        </w:rPr>
        <w:t>：         法定代表人</w:t>
      </w:r>
      <w:r>
        <w:rPr>
          <w:rFonts w:hint="eastAsia" w:ascii="宋体" w:hAnsi="宋体" w:eastAsia="宋体" w:cs="Times New Roman"/>
          <w:color w:val="auto"/>
          <w:sz w:val="24"/>
          <w:highlight w:val="none"/>
        </w:rPr>
        <w:t>或授权代表</w:t>
      </w:r>
      <w:r>
        <w:rPr>
          <w:rFonts w:ascii="宋体" w:hAnsi="宋体" w:eastAsia="宋体" w:cs="Times New Roman"/>
          <w:color w:val="auto"/>
          <w:sz w:val="24"/>
          <w:highlight w:val="none"/>
        </w:rPr>
        <w:t>：</w:t>
      </w:r>
    </w:p>
    <w:p w14:paraId="6DFE5B37">
      <w:pPr>
        <w:tabs>
          <w:tab w:val="left" w:pos="9240"/>
        </w:tabs>
        <w:spacing w:line="520" w:lineRule="exact"/>
        <w:ind w:right="176" w:rightChars="84" w:firstLine="480"/>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  </w:t>
      </w:r>
      <w:r>
        <w:rPr>
          <w:rFonts w:hint="eastAsia" w:ascii="宋体" w:hAnsi="宋体" w:eastAsia="宋体" w:cs="Times New Roman"/>
          <w:color w:val="auto"/>
          <w:sz w:val="24"/>
          <w:highlight w:val="none"/>
        </w:rPr>
        <w:t>联系电话：                     联系电话：</w:t>
      </w:r>
    </w:p>
    <w:p w14:paraId="62069106">
      <w:pPr>
        <w:pStyle w:val="191"/>
        <w:tabs>
          <w:tab w:val="left" w:pos="9240"/>
        </w:tabs>
        <w:spacing w:before="120" w:after="120" w:line="360" w:lineRule="exact"/>
        <w:ind w:right="176" w:rightChars="84"/>
        <w:rPr>
          <w:rFonts w:hAnsi="宋体"/>
          <w:color w:val="auto"/>
          <w:sz w:val="24"/>
          <w:highlight w:val="none"/>
        </w:rPr>
      </w:pPr>
    </w:p>
    <w:p w14:paraId="2613CEFD">
      <w:pPr>
        <w:pStyle w:val="30"/>
        <w:tabs>
          <w:tab w:val="left" w:pos="9240"/>
        </w:tabs>
        <w:spacing w:before="120" w:beforeAutospacing="0" w:after="120" w:afterAutospacing="0" w:line="0" w:lineRule="atLeast"/>
        <w:ind w:right="176" w:rightChars="84" w:firstLine="880"/>
        <w:jc w:val="center"/>
        <w:rPr>
          <w:rFonts w:ascii="黑体" w:hAnsi="宋体" w:eastAsia="黑体" w:cs="黑体"/>
          <w:color w:val="auto"/>
          <w:sz w:val="44"/>
          <w:szCs w:val="44"/>
          <w:highlight w:val="none"/>
        </w:rPr>
      </w:pPr>
      <w:r>
        <w:rPr>
          <w:rFonts w:hAnsi="宋体"/>
          <w:color w:val="auto"/>
          <w:highlight w:val="none"/>
        </w:rPr>
        <w:t xml:space="preserve">                   </w:t>
      </w:r>
      <w:r>
        <w:rPr>
          <w:rFonts w:hint="eastAsia" w:hAnsi="宋体"/>
          <w:color w:val="auto"/>
          <w:highlight w:val="none"/>
        </w:rPr>
        <w:t xml:space="preserve">                      </w:t>
      </w:r>
      <w:r>
        <w:rPr>
          <w:rFonts w:hAnsi="宋体"/>
          <w:color w:val="auto"/>
          <w:highlight w:val="none"/>
        </w:rPr>
        <w:t xml:space="preserve"> 签订日期：      年  月  日</w:t>
      </w:r>
    </w:p>
    <w:p w14:paraId="729B787C">
      <w:pPr>
        <w:pStyle w:val="30"/>
        <w:tabs>
          <w:tab w:val="left" w:pos="9240"/>
        </w:tabs>
        <w:spacing w:before="120" w:beforeAutospacing="0" w:after="120" w:afterAutospacing="0" w:line="0" w:lineRule="atLeast"/>
        <w:ind w:right="176" w:rightChars="84" w:firstLine="880"/>
        <w:jc w:val="center"/>
        <w:rPr>
          <w:rFonts w:ascii="黑体" w:hAnsi="宋体" w:eastAsia="黑体" w:cs="黑体"/>
          <w:color w:val="auto"/>
          <w:sz w:val="44"/>
          <w:szCs w:val="44"/>
          <w:highlight w:val="none"/>
        </w:rPr>
      </w:pPr>
    </w:p>
    <w:p w14:paraId="44B899FE">
      <w:pPr>
        <w:pStyle w:val="30"/>
        <w:tabs>
          <w:tab w:val="left" w:pos="9240"/>
        </w:tabs>
        <w:spacing w:before="120" w:beforeAutospacing="0" w:after="120" w:afterAutospacing="0" w:line="0" w:lineRule="atLeast"/>
        <w:ind w:right="176" w:rightChars="84" w:firstLine="880"/>
        <w:jc w:val="center"/>
        <w:rPr>
          <w:rFonts w:ascii="黑体" w:hAnsi="宋体" w:eastAsia="黑体" w:cs="黑体"/>
          <w:color w:val="auto"/>
          <w:sz w:val="44"/>
          <w:szCs w:val="44"/>
          <w:highlight w:val="none"/>
        </w:rPr>
      </w:pPr>
    </w:p>
    <w:p w14:paraId="510EADFC">
      <w:pPr>
        <w:tabs>
          <w:tab w:val="left" w:pos="9240"/>
        </w:tabs>
        <w:ind w:right="176" w:rightChars="84"/>
        <w:outlineLvl w:val="0"/>
        <w:rPr>
          <w:rFonts w:hint="eastAsia" w:ascii="宋体" w:hAnsi="宋体" w:eastAsia="宋体" w:cs="宋体"/>
          <w:color w:val="auto"/>
          <w:sz w:val="44"/>
          <w:szCs w:val="44"/>
          <w:highlight w:val="none"/>
        </w:rPr>
        <w:sectPr>
          <w:pgSz w:w="11906" w:h="16838"/>
          <w:pgMar w:top="1440" w:right="1134" w:bottom="1440" w:left="1134" w:header="851" w:footer="992" w:gutter="0"/>
          <w:pgNumType w:fmt="decimal"/>
          <w:cols w:space="425" w:num="1"/>
          <w:docGrid w:linePitch="360" w:charSpace="0"/>
        </w:sectPr>
      </w:pPr>
    </w:p>
    <w:p w14:paraId="7A3CB63E">
      <w:pPr>
        <w:tabs>
          <w:tab w:val="left" w:pos="9240"/>
        </w:tabs>
        <w:ind w:right="176" w:rightChars="84"/>
        <w:jc w:val="center"/>
        <w:outlineLvl w:val="0"/>
        <w:rPr>
          <w:rFonts w:ascii="宋体" w:hAnsi="宋体" w:eastAsia="宋体" w:cs="宋体"/>
          <w:color w:val="auto"/>
          <w:sz w:val="44"/>
          <w:szCs w:val="44"/>
          <w:highlight w:val="none"/>
        </w:rPr>
        <w:sectPr>
          <w:type w:val="continuous"/>
          <w:pgSz w:w="11906" w:h="16838"/>
          <w:pgMar w:top="1440" w:right="1134" w:bottom="1440" w:left="1134" w:header="851" w:footer="992" w:gutter="0"/>
          <w:pgNumType w:fmt="decimal"/>
          <w:cols w:space="425" w:num="1"/>
          <w:docGrid w:linePitch="360" w:charSpace="0"/>
        </w:sectPr>
      </w:pPr>
    </w:p>
    <w:p w14:paraId="385D9B9B">
      <w:pPr>
        <w:tabs>
          <w:tab w:val="left" w:pos="9240"/>
        </w:tabs>
        <w:ind w:right="176" w:rightChars="84" w:firstLine="200"/>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安全合同</w:t>
      </w:r>
    </w:p>
    <w:p w14:paraId="52FEB852">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为在</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宋体"/>
          <w:color w:val="auto"/>
          <w:sz w:val="24"/>
          <w:highlight w:val="none"/>
        </w:rPr>
        <w:t xml:space="preserve">合同的实施过程中创造安全、高效的环境，切实搞好本项目的安全管理工作，本项目 </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（以下简称“甲方”）与</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（以下简称“乙方”）特此签订安全合同：</w:t>
      </w:r>
    </w:p>
    <w:p w14:paraId="0231E207">
      <w:pPr>
        <w:widowControl/>
        <w:tabs>
          <w:tab w:val="left" w:pos="9240"/>
        </w:tabs>
        <w:spacing w:line="480" w:lineRule="exact"/>
        <w:ind w:right="176" w:rightChars="84" w:firstLine="422"/>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一、甲方职责</w:t>
      </w:r>
    </w:p>
    <w:p w14:paraId="774C5387">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1、严格遵守国家有关安全生产的法律法规，认真执行合同中的有关安全要求。</w:t>
      </w:r>
    </w:p>
    <w:p w14:paraId="3DE4E924">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2、按照“安全第一、预防为主”的原则进行安全管理。</w:t>
      </w:r>
    </w:p>
    <w:p w14:paraId="4A39BADA">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3、组织对乙方项目服务现场安全检查，监督乙方及时发现并处理各种安全隐患。</w:t>
      </w:r>
    </w:p>
    <w:p w14:paraId="3029744A">
      <w:pPr>
        <w:widowControl/>
        <w:tabs>
          <w:tab w:val="left" w:pos="9240"/>
        </w:tabs>
        <w:spacing w:line="480" w:lineRule="exact"/>
        <w:ind w:right="176" w:rightChars="84" w:firstLine="422"/>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二、乙方职责</w:t>
      </w:r>
    </w:p>
    <w:p w14:paraId="1C4407A4">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1、严格遵守国家有关安全生产的法律法规、相关部门颁发的有关安全生产的规定，认真执行项目服务合同中的有关安全要求。</w:t>
      </w:r>
    </w:p>
    <w:p w14:paraId="6C8277D0">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2、坚持“安全第一、预防为主”的原则，加强安全宣传教育，增强全员安全意识，建立健全的安全管理机构和安全管理制度，配备专职及兼职安全检查人员，有组织有领导地开展活动。各级领导和具体服务人员，必须熟悉和遵守本条款的各项规定，做到服务与安全工作同时计划、布置、检查、总结和评比。</w:t>
      </w:r>
    </w:p>
    <w:p w14:paraId="354B9B6E">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3、建立健全安全责任制。从派往项目实施的</w:t>
      </w:r>
      <w:r>
        <w:rPr>
          <w:rFonts w:hint="eastAsia" w:ascii="宋体" w:hAnsi="宋体" w:eastAsia="宋体" w:cs="Times New Roman"/>
          <w:color w:val="auto"/>
          <w:sz w:val="24"/>
          <w:highlight w:val="none"/>
        </w:rPr>
        <w:t>项目经理、现场管理人员</w:t>
      </w:r>
      <w:r>
        <w:rPr>
          <w:rFonts w:hint="eastAsia" w:ascii="宋体" w:hAnsi="宋体" w:eastAsia="宋体" w:cs="宋体"/>
          <w:color w:val="auto"/>
          <w:sz w:val="24"/>
          <w:highlight w:val="none"/>
        </w:rPr>
        <w:t>到服务人员的安全生产管理系统必须做到纵向到底，一环不漏；各职能部门、人员的安全生产责任制做到横向到边，人人有责。项目经理是安全的第一责任人。</w:t>
      </w:r>
    </w:p>
    <w:p w14:paraId="3F223B89">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4、乙方在任何时候都应采取各种合理的预防措施，防止其员工发生任何违法、违禁、暴力或防碍治安的行为。</w:t>
      </w:r>
    </w:p>
    <w:p w14:paraId="4CB12A67">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5、服务人员上岗，必须按规定穿戴防护用品。项目经理和现场管理人员应随时检查劳动防护用品的穿戴情况，不按规定穿戴防护用品的人员不得上岗。</w:t>
      </w:r>
    </w:p>
    <w:p w14:paraId="6C8C7E7B">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6、所有机具设备均应定期检查，并有签字记录，保证其经常处于完好状态；不合格的机具、设备和劳动保护用品严禁使用。</w:t>
      </w:r>
    </w:p>
    <w:p w14:paraId="0ED8958B">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7、乙方应对安全技术资料建立档案，安全技术资料应当真实、完整齐全。</w:t>
      </w:r>
    </w:p>
    <w:p w14:paraId="2941F767">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8、乙方应当接受甲方及政府安全监督机构对其安全生产的监督检查。对于检查单位下达的整改意见通知，乙方要立即予以整改，由此发生的费用乙方自负。</w:t>
      </w:r>
    </w:p>
    <w:p w14:paraId="6E245635">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9、乙方必须按照本项目特点，组织制定本项目实施中的安全事故应急救援预案；如果发生安全事故，应按照《国务院关于特大安全事故行政责任追究的规定》以及其它有关规定，及时上报有关部门，并坚持“三不放过”的原则，严肃处理相关责任人。</w:t>
      </w:r>
    </w:p>
    <w:p w14:paraId="176C1FD2">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10、发生重大伤亡及其他安全事故，乙方应按有关规定立即上报有关部门并通知甲方，同时按政府有关部门要求处理。</w:t>
      </w:r>
    </w:p>
    <w:p w14:paraId="7F7512FF">
      <w:pPr>
        <w:widowControl/>
        <w:tabs>
          <w:tab w:val="left" w:pos="9240"/>
        </w:tabs>
        <w:spacing w:line="480" w:lineRule="exact"/>
        <w:ind w:right="176" w:rightChars="84" w:firstLine="42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三、违约责任</w:t>
      </w:r>
    </w:p>
    <w:p w14:paraId="10CE9CFB">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1、乙方应对发生在本项目服务期间的交通安全、安全事故（包括人损）负全部法律责任，并承担由此而产生的一切经济损失。</w:t>
      </w:r>
    </w:p>
    <w:p w14:paraId="147AB488">
      <w:pPr>
        <w:widowControl/>
        <w:tabs>
          <w:tab w:val="left" w:pos="9240"/>
        </w:tabs>
        <w:spacing w:line="480" w:lineRule="exact"/>
        <w:ind w:right="176" w:rightChars="84" w:firstLine="420"/>
        <w:jc w:val="left"/>
        <w:rPr>
          <w:rFonts w:ascii="宋体" w:hAnsi="宋体" w:eastAsia="宋体" w:cs="宋体"/>
          <w:color w:val="auto"/>
          <w:sz w:val="24"/>
          <w:highlight w:val="none"/>
        </w:rPr>
      </w:pPr>
      <w:r>
        <w:rPr>
          <w:rFonts w:hint="eastAsia" w:ascii="宋体" w:hAnsi="宋体" w:eastAsia="宋体" w:cs="宋体"/>
          <w:color w:val="auto"/>
          <w:sz w:val="24"/>
          <w:highlight w:val="none"/>
        </w:rPr>
        <w:t>2、如乙方发生安全事故不及时妥善处理，引起纠纷或诉讼，甲方有权扣留其履约保证金和未付合同款用于支付事故处理费用。</w:t>
      </w:r>
    </w:p>
    <w:p w14:paraId="53FC6FEC">
      <w:pPr>
        <w:tabs>
          <w:tab w:val="left" w:pos="9240"/>
        </w:tabs>
        <w:spacing w:line="480" w:lineRule="exact"/>
        <w:ind w:right="176" w:rightChars="84" w:firstLine="420"/>
        <w:rPr>
          <w:rFonts w:ascii="宋体" w:hAnsi="宋体" w:eastAsia="宋体" w:cs="宋体"/>
          <w:color w:val="auto"/>
          <w:sz w:val="24"/>
          <w:highlight w:val="none"/>
        </w:rPr>
      </w:pPr>
      <w:r>
        <w:rPr>
          <w:rFonts w:hint="eastAsia" w:ascii="宋体" w:hAnsi="宋体" w:eastAsia="宋体" w:cs="宋体"/>
          <w:color w:val="auto"/>
          <w:sz w:val="24"/>
          <w:highlight w:val="none"/>
        </w:rPr>
        <w:t>3、本合同一式四份，正本二份、副本二份，甲、乙双方各执二份。由双方法定代表人（或负责人）或其授权的代理人签署与加盖公章后生效，</w:t>
      </w:r>
      <w:r>
        <w:rPr>
          <w:rFonts w:hint="eastAsia" w:ascii="Times New Roman" w:hAnsi="宋体" w:eastAsia="宋体" w:cs="Times New Roman"/>
          <w:bCs/>
          <w:color w:val="auto"/>
          <w:sz w:val="24"/>
          <w:highlight w:val="none"/>
        </w:rPr>
        <w:t>甲、乙双方所签定的安全合同的时效与服务合同时效等同</w:t>
      </w:r>
      <w:r>
        <w:rPr>
          <w:rFonts w:hint="eastAsia" w:ascii="宋体" w:hAnsi="宋体" w:eastAsia="宋体" w:cs="宋体"/>
          <w:color w:val="auto"/>
          <w:sz w:val="24"/>
          <w:highlight w:val="none"/>
        </w:rPr>
        <w:t>。</w:t>
      </w:r>
    </w:p>
    <w:p w14:paraId="4033B916">
      <w:pPr>
        <w:tabs>
          <w:tab w:val="left" w:pos="9240"/>
        </w:tabs>
        <w:spacing w:line="500" w:lineRule="exact"/>
        <w:ind w:right="176" w:rightChars="84" w:firstLine="840"/>
        <w:rPr>
          <w:rFonts w:ascii="宋体" w:hAnsi="宋体" w:eastAsia="宋体" w:cs="宋体"/>
          <w:color w:val="auto"/>
          <w:sz w:val="24"/>
          <w:highlight w:val="none"/>
        </w:rPr>
      </w:pPr>
    </w:p>
    <w:p w14:paraId="7CB9BF0C">
      <w:pPr>
        <w:tabs>
          <w:tab w:val="left" w:pos="9240"/>
        </w:tabs>
        <w:spacing w:line="50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甲方：（盖章）                               乙方：（盖章）</w:t>
      </w:r>
    </w:p>
    <w:p w14:paraId="145E78B6">
      <w:pPr>
        <w:tabs>
          <w:tab w:val="left" w:pos="9240"/>
        </w:tabs>
        <w:spacing w:line="50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法定代表人（或负责人）  　　　　　　　　     法定代表人（或负责人）</w:t>
      </w:r>
    </w:p>
    <w:p w14:paraId="2C71C13E">
      <w:pPr>
        <w:tabs>
          <w:tab w:val="left" w:pos="9240"/>
        </w:tabs>
        <w:spacing w:line="50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或授权委托人：　　　　　　　　　　           或授权委托人：</w:t>
      </w:r>
    </w:p>
    <w:p w14:paraId="2802C1A2">
      <w:pPr>
        <w:tabs>
          <w:tab w:val="left" w:pos="9240"/>
        </w:tabs>
        <w:spacing w:line="50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签订日期：　　年　 月　 日                   签订日期： 　年　 月　 日</w:t>
      </w:r>
    </w:p>
    <w:p w14:paraId="16397998">
      <w:pPr>
        <w:tabs>
          <w:tab w:val="left" w:pos="9240"/>
        </w:tabs>
        <w:spacing w:line="360" w:lineRule="exact"/>
        <w:ind w:right="176" w:rightChars="84"/>
        <w:jc w:val="center"/>
        <w:rPr>
          <w:rFonts w:ascii="宋体" w:hAnsi="宋体" w:eastAsia="宋体" w:cs="宋体"/>
          <w:b/>
          <w:color w:val="auto"/>
          <w:sz w:val="30"/>
          <w:szCs w:val="30"/>
          <w:highlight w:val="none"/>
        </w:rPr>
      </w:pPr>
      <w:r>
        <w:rPr>
          <w:rFonts w:ascii="Times New Roman" w:hAnsi="Times New Roman" w:eastAsia="宋体" w:cs="Times New Roman"/>
          <w:color w:val="auto"/>
          <w:szCs w:val="21"/>
          <w:highlight w:val="none"/>
        </w:rPr>
        <w:br w:type="page" w:clear="all"/>
      </w:r>
      <w:r>
        <w:rPr>
          <w:rFonts w:hint="eastAsia" w:ascii="宋体" w:hAnsi="宋体" w:eastAsia="宋体" w:cs="宋体"/>
          <w:b/>
          <w:color w:val="auto"/>
          <w:sz w:val="30"/>
          <w:szCs w:val="30"/>
          <w:highlight w:val="none"/>
        </w:rPr>
        <w:t>廉 政 合 同</w:t>
      </w:r>
    </w:p>
    <w:p w14:paraId="407BE80B">
      <w:pPr>
        <w:widowControl/>
        <w:tabs>
          <w:tab w:val="left" w:pos="9240"/>
        </w:tabs>
        <w:spacing w:line="480" w:lineRule="exact"/>
        <w:ind w:right="176" w:rightChars="84" w:firstLine="482"/>
        <w:rPr>
          <w:rFonts w:ascii="宋体" w:hAnsi="宋体" w:eastAsia="宋体" w:cs="宋体"/>
          <w:color w:val="auto"/>
          <w:sz w:val="24"/>
          <w:highlight w:val="none"/>
        </w:rPr>
      </w:pPr>
      <w:r>
        <w:rPr>
          <w:rFonts w:hint="eastAsia" w:ascii="宋体" w:hAnsi="宋体" w:eastAsia="宋体" w:cs="宋体"/>
          <w:b/>
          <w:color w:val="auto"/>
          <w:sz w:val="24"/>
          <w:highlight w:val="none"/>
        </w:rPr>
        <w:t>采购方：</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（以下简称甲方）</w:t>
      </w:r>
    </w:p>
    <w:p w14:paraId="5AC1CBB4">
      <w:pPr>
        <w:widowControl/>
        <w:tabs>
          <w:tab w:val="left" w:pos="9240"/>
        </w:tabs>
        <w:spacing w:line="480" w:lineRule="exact"/>
        <w:ind w:right="176" w:rightChars="84" w:firstLine="482"/>
        <w:rPr>
          <w:rFonts w:ascii="宋体" w:hAnsi="宋体" w:eastAsia="宋体" w:cs="宋体"/>
          <w:color w:val="auto"/>
          <w:sz w:val="24"/>
          <w:highlight w:val="none"/>
        </w:rPr>
      </w:pPr>
      <w:r>
        <w:rPr>
          <w:rFonts w:hint="eastAsia" w:ascii="宋体" w:hAnsi="宋体" w:eastAsia="宋体" w:cs="宋体"/>
          <w:b/>
          <w:color w:val="auto"/>
          <w:sz w:val="24"/>
          <w:highlight w:val="none"/>
        </w:rPr>
        <w:t>供应方：</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（以下简称乙方）</w:t>
      </w:r>
    </w:p>
    <w:p w14:paraId="79A1B6A1">
      <w:pPr>
        <w:tabs>
          <w:tab w:val="left" w:pos="9240"/>
        </w:tabs>
        <w:spacing w:line="480" w:lineRule="exact"/>
        <w:ind w:right="-21" w:rightChars="-10" w:firstLine="480"/>
        <w:rPr>
          <w:rFonts w:ascii="宋体" w:hAnsi="宋体" w:eastAsia="宋体" w:cs="宋体"/>
          <w:color w:val="auto"/>
          <w:sz w:val="24"/>
          <w:highlight w:val="none"/>
        </w:rPr>
      </w:pPr>
      <w:r>
        <w:rPr>
          <w:rFonts w:hint="eastAsia" w:ascii="宋体" w:hAnsi="宋体" w:eastAsia="宋体" w:cs="宋体"/>
          <w:color w:val="auto"/>
          <w:sz w:val="24"/>
          <w:highlight w:val="none"/>
        </w:rPr>
        <w:t>为贯彻执行党风廉政法规，加强</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中的党风廉政建设，特订立本廉政合同。</w:t>
      </w:r>
    </w:p>
    <w:p w14:paraId="17F34162">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一、甲乙双方约定</w:t>
      </w:r>
    </w:p>
    <w:p w14:paraId="66D9434B">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1、强化廉政意识，共同遵守《盐城市市场廉政准入规定（试行）》等党风廉政建设的各项规定。</w:t>
      </w:r>
    </w:p>
    <w:p w14:paraId="0CBE1106">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2、认真执行</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合同文件，自觉按合同办事。</w:t>
      </w:r>
    </w:p>
    <w:p w14:paraId="7C8DA18F">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3、除法定的商业秘密和合同文件另有规定之外，甲、乙双方的业务活动应坚持公开、公正、透明的原则，严谨损害国家和集体利益，以及违反法律、制度规定的不正当交易。</w:t>
      </w:r>
    </w:p>
    <w:p w14:paraId="7807A4A3">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4、加强本方人员的廉政监督，建立和健全廉政制度，认真查处违法违纪行为。</w:t>
      </w:r>
    </w:p>
    <w:p w14:paraId="02F76C65">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5、对本方人员开展廉政告知、廉政教育和职业道德教育。</w:t>
      </w:r>
    </w:p>
    <w:p w14:paraId="2A51D864">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6、如发现对方在业务活动中有违反廉政制度的行为，甲乙双方有及时提醒对方并督促其纠正的权利和义务。</w:t>
      </w:r>
    </w:p>
    <w:p w14:paraId="46C3D44C">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二、甲方在廉政建设方面的责任</w:t>
      </w:r>
    </w:p>
    <w:p w14:paraId="068CD110">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1、不得以任何形式向乙方索要和收受回扣。</w:t>
      </w:r>
    </w:p>
    <w:p w14:paraId="4AAD2150">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2、不得接受乙方礼金、礼品、有价证券和贵重物品，不得在乙方报销任何应由个人支付的费用。对无法推辞的礼金、礼品、有价证券和贵重物品应交见证部门登记。</w:t>
      </w:r>
    </w:p>
    <w:p w14:paraId="71B06EF5">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3、不得参加可能对公正执行公务有影响的宴请和娱乐、旅游活动。</w:t>
      </w:r>
    </w:p>
    <w:p w14:paraId="20FA53C8">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4、不得要求或者接受乙方为其住宅装修、婚丧嫁娶、家属子女的工作安排以及外出旅行等提供方便。</w:t>
      </w:r>
    </w:p>
    <w:p w14:paraId="21FABE80">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5、不得在家接待乙方有关招投标和采购供应事项等涉及公务的询访。</w:t>
      </w:r>
    </w:p>
    <w:p w14:paraId="213EEB18">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6、不得有其他违反廉政规定的行为。</w:t>
      </w:r>
    </w:p>
    <w:p w14:paraId="2A231FB1">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三、乙方在廉政建设方面的责任</w:t>
      </w:r>
    </w:p>
    <w:p w14:paraId="34ACA369">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1、不得以任何理由向甲方人员行贿或馈赠礼品、礼金和有价证券。</w:t>
      </w:r>
    </w:p>
    <w:p w14:paraId="6BD71D3C">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2、不得以甲方人员报支应由其支付的任何费用。</w:t>
      </w:r>
    </w:p>
    <w:p w14:paraId="5F7EDF35">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3、不得邀请甲方工作人员外出旅游和参加由公款支付的各项高消费娱乐性活动。</w:t>
      </w:r>
    </w:p>
    <w:p w14:paraId="38D97049">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4、不得为甲方单位和个人购置或者提供通讯工具、交通工具、家电和高档办公用品。</w:t>
      </w:r>
    </w:p>
    <w:p w14:paraId="0103F729">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5、不得到甲方人员家里询访有关招标和采购事项。</w:t>
      </w:r>
    </w:p>
    <w:p w14:paraId="48D4DE36">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6、不得谋取私利擅自与甲方人员就项目承包、物资采购、设备供应项目的费用等问题私下商谈或达成默契。</w:t>
      </w:r>
    </w:p>
    <w:p w14:paraId="235C85B6">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7、不得有其他违反廉政规定行为。</w:t>
      </w:r>
    </w:p>
    <w:p w14:paraId="42EE171C">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四、违约责任</w:t>
      </w:r>
    </w:p>
    <w:p w14:paraId="3B427586">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1、甲方有违反本合同第一条第1至第5款和第二条的，除按党风廉政建设规定进行责任追究和执行主管部门有关处罚规定外，另外支付违约金</w:t>
      </w:r>
      <w:r>
        <w:rPr>
          <w:rFonts w:hint="eastAsia" w:ascii="宋体" w:hAnsi="宋体" w:eastAsia="宋体" w:cs="宋体"/>
          <w:color w:val="auto"/>
          <w:sz w:val="24"/>
          <w:highlight w:val="none"/>
          <w:u w:val="single"/>
        </w:rPr>
        <w:t>2000</w:t>
      </w:r>
      <w:r>
        <w:rPr>
          <w:rFonts w:hint="eastAsia" w:ascii="宋体" w:hAnsi="宋体" w:eastAsia="宋体" w:cs="宋体"/>
          <w:color w:val="auto"/>
          <w:sz w:val="24"/>
          <w:highlight w:val="none"/>
        </w:rPr>
        <w:t>元；给乙方造成损失的应于赔偿。</w:t>
      </w:r>
    </w:p>
    <w:p w14:paraId="6F07CBD6">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2、乙方有违反本合同第一条第1至第5款和第三条的，除按《盐城市市场廉政准入规定（试行）》和行政主管部门有关规定处罚外，视情节轻重给与项目总价的</w:t>
      </w:r>
      <w:r>
        <w:rPr>
          <w:rFonts w:hint="eastAsia" w:ascii="宋体" w:hAnsi="宋体" w:eastAsia="宋体" w:cs="宋体"/>
          <w:color w:val="auto"/>
          <w:sz w:val="24"/>
          <w:highlight w:val="none"/>
          <w:u w:val="single"/>
        </w:rPr>
        <w:t>5%</w:t>
      </w:r>
      <w:r>
        <w:rPr>
          <w:rFonts w:hint="eastAsia" w:ascii="宋体" w:hAnsi="宋体" w:eastAsia="宋体" w:cs="宋体"/>
          <w:color w:val="auto"/>
          <w:sz w:val="24"/>
          <w:highlight w:val="none"/>
        </w:rPr>
        <w:t>违约处罚，并承担由此造成的损失。</w:t>
      </w:r>
    </w:p>
    <w:p w14:paraId="1124A16E">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3、甲方双方凡违反本合同规定的均要视情节追究纪律责任，情节严重的已经移送司法机关处理。</w:t>
      </w:r>
    </w:p>
    <w:p w14:paraId="21087317">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五、见证单位的约定和授权</w:t>
      </w:r>
    </w:p>
    <w:p w14:paraId="19BE0563">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1、双方约定：本合同的见证单位为各单位的内设纪检组织、市纪委派驻纪检组或纪检监察机关和检查机关。双方授权见证单位组织 本合同执行情况的检查，提出在本合同在规定范围内的意见。</w:t>
      </w:r>
    </w:p>
    <w:p w14:paraId="2230B9DF">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六、检查方式</w:t>
      </w:r>
    </w:p>
    <w:p w14:paraId="76034E65">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本合同的履约情况检查由甲乙双方共同派人参加。检查方式为座谈、问卷、调查、查阅资料或其他约定方式。检查时间、次数、检查方式和检查结论、处罚意见由见证单位依据事实确定或裁定。</w:t>
      </w:r>
    </w:p>
    <w:p w14:paraId="0C4187A8">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七、本合同有效期自甲、乙双方签署之日起至该项目验收合格后合同价款付清时止。</w:t>
      </w:r>
    </w:p>
    <w:p w14:paraId="395C8C73">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八、本合同作为</w:t>
      </w:r>
      <w:r>
        <w:rPr>
          <w:rFonts w:hint="eastAsia" w:ascii="宋体" w:hAnsi="宋体" w:eastAsia="宋体" w:cs="宋体"/>
          <w:color w:val="auto"/>
          <w:sz w:val="24"/>
          <w:highlight w:val="none"/>
          <w:u w:val="single"/>
        </w:rPr>
        <w:t xml:space="preserve"> </w:t>
      </w:r>
      <w:r>
        <w:rPr>
          <w:rFonts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合同的附件，于本合同具有同等法律效力。</w:t>
      </w:r>
    </w:p>
    <w:p w14:paraId="056DDC24">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九、</w:t>
      </w:r>
      <w:r>
        <w:rPr>
          <w:rFonts w:ascii="宋体" w:hAnsi="宋体" w:eastAsia="宋体" w:cs="Times New Roman"/>
          <w:color w:val="auto"/>
          <w:sz w:val="24"/>
          <w:highlight w:val="none"/>
        </w:rPr>
        <w:t>本合同</w:t>
      </w:r>
      <w:r>
        <w:rPr>
          <w:rFonts w:hint="eastAsia" w:ascii="宋体" w:hAnsi="宋体" w:eastAsia="宋体" w:cs="Times New Roman"/>
          <w:color w:val="auto"/>
          <w:sz w:val="24"/>
          <w:highlight w:val="none"/>
        </w:rPr>
        <w:t>一式四份，正本二份、副本二份</w:t>
      </w:r>
      <w:r>
        <w:rPr>
          <w:rFonts w:ascii="宋体" w:hAnsi="宋体" w:eastAsia="宋体" w:cs="Times New Roman"/>
          <w:color w:val="auto"/>
          <w:sz w:val="24"/>
          <w:highlight w:val="none"/>
        </w:rPr>
        <w:t>，甲、乙双方各执</w:t>
      </w:r>
      <w:r>
        <w:rPr>
          <w:rFonts w:hint="eastAsia" w:ascii="宋体" w:hAnsi="宋体" w:eastAsia="宋体" w:cs="Times New Roman"/>
          <w:color w:val="auto"/>
          <w:sz w:val="24"/>
          <w:highlight w:val="none"/>
        </w:rPr>
        <w:t>二</w:t>
      </w:r>
      <w:r>
        <w:rPr>
          <w:rFonts w:ascii="宋体" w:hAnsi="宋体" w:eastAsia="宋体" w:cs="Times New Roman"/>
          <w:color w:val="auto"/>
          <w:sz w:val="24"/>
          <w:highlight w:val="none"/>
        </w:rPr>
        <w:t>份</w:t>
      </w:r>
      <w:r>
        <w:rPr>
          <w:rFonts w:hint="eastAsia" w:ascii="宋体" w:hAnsi="宋体" w:eastAsia="宋体" w:cs="宋体"/>
          <w:color w:val="auto"/>
          <w:sz w:val="24"/>
          <w:highlight w:val="none"/>
        </w:rPr>
        <w:t>。</w:t>
      </w:r>
    </w:p>
    <w:p w14:paraId="56F4B687">
      <w:pPr>
        <w:tabs>
          <w:tab w:val="left" w:pos="9240"/>
        </w:tabs>
        <w:spacing w:line="400" w:lineRule="exact"/>
        <w:ind w:right="176" w:rightChars="84" w:firstLine="480"/>
        <w:rPr>
          <w:rFonts w:ascii="宋体" w:hAnsi="宋体" w:eastAsia="宋体" w:cs="宋体"/>
          <w:color w:val="auto"/>
          <w:sz w:val="24"/>
          <w:highlight w:val="none"/>
        </w:rPr>
      </w:pPr>
    </w:p>
    <w:p w14:paraId="642D8170">
      <w:pPr>
        <w:tabs>
          <w:tab w:val="left" w:pos="9240"/>
        </w:tabs>
        <w:spacing w:line="50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甲方：（盖章）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乙方：（盖章）</w:t>
      </w:r>
    </w:p>
    <w:p w14:paraId="53880DB3">
      <w:pPr>
        <w:tabs>
          <w:tab w:val="left" w:pos="9240"/>
        </w:tabs>
        <w:spacing w:line="50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法定代表人（或负责人）  　　　　　　　　      法定代表人（或负责人）</w:t>
      </w:r>
    </w:p>
    <w:p w14:paraId="4AAD4BBF">
      <w:pPr>
        <w:tabs>
          <w:tab w:val="left" w:pos="9240"/>
        </w:tabs>
        <w:spacing w:line="50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或授权委托人：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或授权委托人：</w:t>
      </w:r>
    </w:p>
    <w:p w14:paraId="47CBD48E">
      <w:pPr>
        <w:tabs>
          <w:tab w:val="left" w:pos="9240"/>
        </w:tabs>
        <w:spacing w:line="500" w:lineRule="exact"/>
        <w:ind w:right="176" w:rightChars="84"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                   </w:t>
      </w:r>
      <w:r>
        <w:rPr>
          <w:rFonts w:ascii="宋体" w:hAnsi="宋体" w:eastAsia="宋体" w:cs="宋体"/>
          <w:color w:val="auto"/>
          <w:sz w:val="24"/>
          <w:highlight w:val="none"/>
        </w:rPr>
        <w:t xml:space="preserve"> </w:t>
      </w:r>
      <w:r>
        <w:rPr>
          <w:rFonts w:hint="eastAsia" w:ascii="宋体" w:hAnsi="宋体" w:eastAsia="宋体" w:cs="宋体"/>
          <w:color w:val="auto"/>
          <w:sz w:val="24"/>
          <w:highlight w:val="none"/>
        </w:rPr>
        <w:t>签订日期： 　年　 月　 日</w:t>
      </w:r>
    </w:p>
    <w:p w14:paraId="69D28087">
      <w:pPr>
        <w:tabs>
          <w:tab w:val="left" w:pos="9240"/>
        </w:tabs>
        <w:ind w:right="176" w:rightChars="84"/>
        <w:outlineLvl w:val="0"/>
        <w:rPr>
          <w:rFonts w:hint="eastAsia" w:ascii="宋体" w:hAnsi="宋体" w:eastAsia="宋体" w:cs="宋体"/>
          <w:color w:val="auto"/>
          <w:sz w:val="44"/>
          <w:szCs w:val="44"/>
          <w:highlight w:val="none"/>
        </w:rPr>
        <w:sectPr>
          <w:pgSz w:w="11906" w:h="16838"/>
          <w:pgMar w:top="1440" w:right="1134" w:bottom="1440" w:left="1134" w:header="851" w:footer="992" w:gutter="0"/>
          <w:pgNumType w:fmt="decimal"/>
          <w:cols w:space="425" w:num="1"/>
          <w:docGrid w:linePitch="360" w:charSpace="0"/>
        </w:sectPr>
      </w:pPr>
    </w:p>
    <w:p w14:paraId="4BF29EA1">
      <w:pPr>
        <w:tabs>
          <w:tab w:val="left" w:pos="9240"/>
        </w:tabs>
        <w:ind w:right="176" w:rightChars="84"/>
        <w:jc w:val="center"/>
        <w:outlineLvl w:val="0"/>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政府采购合同履约验收书（参考格式）</w:t>
      </w:r>
    </w:p>
    <w:p w14:paraId="336B8E1B">
      <w:pPr>
        <w:tabs>
          <w:tab w:val="left" w:pos="9240"/>
        </w:tabs>
        <w:spacing w:line="560" w:lineRule="exact"/>
        <w:ind w:right="176" w:rightChars="84" w:firstLine="600"/>
        <w:jc w:val="left"/>
        <w:rPr>
          <w:rFonts w:ascii="宋体" w:hAnsi="宋体" w:eastAsia="宋体" w:cs="宋体"/>
          <w:color w:val="auto"/>
          <w:sz w:val="24"/>
          <w:highlight w:val="none"/>
        </w:rPr>
      </w:pPr>
      <w:r>
        <w:rPr>
          <w:rFonts w:hint="eastAsia" w:ascii="宋体" w:hAnsi="宋体" w:eastAsia="宋体" w:cs="宋体"/>
          <w:color w:val="auto"/>
          <w:sz w:val="24"/>
          <w:highlight w:val="none"/>
        </w:rPr>
        <w:t>根据政府采购合同（编号：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）的约定，我单位组织对</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项目中标（成交）供应商</w:t>
      </w:r>
      <w:r>
        <w:rPr>
          <w:rFonts w:hint="eastAsia" w:ascii="宋体" w:hAnsi="宋体" w:eastAsia="宋体" w:cs="宋体"/>
          <w:color w:val="auto"/>
          <w:sz w:val="24"/>
          <w:highlight w:val="none"/>
          <w:u w:val="single"/>
        </w:rPr>
        <w:t>（公司名称）</w:t>
      </w:r>
      <w:r>
        <w:rPr>
          <w:rFonts w:hint="eastAsia" w:ascii="宋体" w:hAnsi="宋体" w:eastAsia="宋体" w:cs="宋体"/>
          <w:color w:val="auto"/>
          <w:sz w:val="24"/>
          <w:highlight w:val="none"/>
        </w:rPr>
        <w:t>提供的货物（工程、服务）进行了履约验收，验收情况如下：</w:t>
      </w:r>
    </w:p>
    <w:tbl>
      <w:tblPr>
        <w:tblStyle w:val="32"/>
        <w:tblW w:w="4999" w:type="pct"/>
        <w:jc w:val="center"/>
        <w:tblLayout w:type="autofit"/>
        <w:tblCellMar>
          <w:top w:w="0" w:type="dxa"/>
          <w:left w:w="108" w:type="dxa"/>
          <w:bottom w:w="0" w:type="dxa"/>
          <w:right w:w="108" w:type="dxa"/>
        </w:tblCellMar>
      </w:tblPr>
      <w:tblGrid>
        <w:gridCol w:w="1594"/>
        <w:gridCol w:w="2827"/>
        <w:gridCol w:w="1634"/>
        <w:gridCol w:w="2471"/>
      </w:tblGrid>
      <w:tr w14:paraId="3A2543D3">
        <w:trPr>
          <w:trHeight w:val="855" w:hRule="atLeast"/>
          <w:jc w:val="center"/>
        </w:trPr>
        <w:tc>
          <w:tcPr>
            <w:tcW w:w="935" w:type="pct"/>
            <w:tcBorders>
              <w:top w:val="single" w:color="auto" w:sz="8" w:space="0"/>
              <w:left w:val="single" w:color="auto" w:sz="8" w:space="0"/>
              <w:bottom w:val="single" w:color="auto" w:sz="4" w:space="0"/>
              <w:right w:val="single" w:color="auto" w:sz="4" w:space="0"/>
            </w:tcBorders>
            <w:vAlign w:val="center"/>
          </w:tcPr>
          <w:p w14:paraId="14F6F1C7">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658" w:type="pct"/>
            <w:tcBorders>
              <w:top w:val="single" w:color="auto" w:sz="8" w:space="0"/>
              <w:left w:val="nil"/>
              <w:bottom w:val="single" w:color="auto" w:sz="4" w:space="0"/>
              <w:right w:val="single" w:color="auto" w:sz="4" w:space="0"/>
            </w:tcBorders>
            <w:vAlign w:val="center"/>
          </w:tcPr>
          <w:p w14:paraId="76C3834C">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p>
        </w:tc>
        <w:tc>
          <w:tcPr>
            <w:tcW w:w="958" w:type="pct"/>
            <w:tcBorders>
              <w:top w:val="single" w:color="auto" w:sz="8" w:space="0"/>
              <w:left w:val="nil"/>
              <w:bottom w:val="single" w:color="auto" w:sz="4" w:space="0"/>
              <w:right w:val="single" w:color="auto" w:sz="4" w:space="0"/>
            </w:tcBorders>
            <w:vAlign w:val="center"/>
          </w:tcPr>
          <w:p w14:paraId="1A35CB4C">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项目地点</w:t>
            </w:r>
          </w:p>
        </w:tc>
        <w:tc>
          <w:tcPr>
            <w:tcW w:w="1447" w:type="pct"/>
            <w:tcBorders>
              <w:top w:val="single" w:color="auto" w:sz="8" w:space="0"/>
              <w:left w:val="nil"/>
              <w:bottom w:val="single" w:color="auto" w:sz="4" w:space="0"/>
              <w:right w:val="single" w:color="auto" w:sz="8" w:space="0"/>
            </w:tcBorders>
            <w:vAlign w:val="center"/>
          </w:tcPr>
          <w:p w14:paraId="6AABDEE5">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p>
        </w:tc>
      </w:tr>
      <w:tr w14:paraId="5CBCCCC4">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1A5FE9D8">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预算金额</w:t>
            </w:r>
          </w:p>
        </w:tc>
        <w:tc>
          <w:tcPr>
            <w:tcW w:w="1658" w:type="pct"/>
            <w:tcBorders>
              <w:top w:val="single" w:color="auto" w:sz="4" w:space="0"/>
              <w:left w:val="nil"/>
              <w:bottom w:val="single" w:color="auto" w:sz="4" w:space="0"/>
              <w:right w:val="single" w:color="auto" w:sz="4" w:space="0"/>
            </w:tcBorders>
            <w:vAlign w:val="center"/>
          </w:tcPr>
          <w:p w14:paraId="6D44FFD4">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p>
        </w:tc>
        <w:tc>
          <w:tcPr>
            <w:tcW w:w="958" w:type="pct"/>
            <w:tcBorders>
              <w:top w:val="nil"/>
              <w:left w:val="nil"/>
              <w:bottom w:val="nil"/>
              <w:right w:val="nil"/>
            </w:tcBorders>
            <w:vAlign w:val="center"/>
          </w:tcPr>
          <w:p w14:paraId="651EE77C">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承接单位</w:t>
            </w:r>
          </w:p>
        </w:tc>
        <w:tc>
          <w:tcPr>
            <w:tcW w:w="1447" w:type="pct"/>
            <w:tcBorders>
              <w:top w:val="nil"/>
              <w:left w:val="single" w:color="auto" w:sz="4" w:space="0"/>
              <w:bottom w:val="single" w:color="auto" w:sz="4" w:space="0"/>
              <w:right w:val="single" w:color="auto" w:sz="8" w:space="0"/>
            </w:tcBorders>
            <w:vAlign w:val="center"/>
          </w:tcPr>
          <w:p w14:paraId="21E4FB60">
            <w:pPr>
              <w:keepNext w:val="0"/>
              <w:keepLines w:val="0"/>
              <w:suppressLineNumbers w:val="0"/>
              <w:tabs>
                <w:tab w:val="left" w:pos="9240"/>
              </w:tabs>
              <w:spacing w:before="0" w:beforeAutospacing="0" w:after="0" w:afterAutospacing="0" w:line="360" w:lineRule="exact"/>
              <w:ind w:left="0" w:right="176" w:rightChars="84"/>
              <w:jc w:val="left"/>
              <w:rPr>
                <w:rFonts w:hint="default" w:ascii="宋体" w:hAnsi="宋体" w:eastAsia="宋体" w:cs="宋体"/>
                <w:color w:val="auto"/>
                <w:sz w:val="24"/>
                <w:highlight w:val="none"/>
              </w:rPr>
            </w:pPr>
          </w:p>
        </w:tc>
      </w:tr>
      <w:tr w14:paraId="474067DC">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158F0190">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合同时间</w:t>
            </w:r>
          </w:p>
        </w:tc>
        <w:tc>
          <w:tcPr>
            <w:tcW w:w="1658" w:type="pct"/>
            <w:tcBorders>
              <w:top w:val="single" w:color="auto" w:sz="4" w:space="0"/>
              <w:left w:val="nil"/>
              <w:bottom w:val="single" w:color="auto" w:sz="4" w:space="0"/>
              <w:right w:val="single" w:color="auto" w:sz="4" w:space="0"/>
            </w:tcBorders>
            <w:vAlign w:val="center"/>
          </w:tcPr>
          <w:p w14:paraId="2B8B222F">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p>
        </w:tc>
        <w:tc>
          <w:tcPr>
            <w:tcW w:w="958" w:type="pct"/>
            <w:tcBorders>
              <w:top w:val="single" w:color="auto" w:sz="4" w:space="0"/>
              <w:left w:val="nil"/>
              <w:bottom w:val="single" w:color="auto" w:sz="4" w:space="0"/>
              <w:right w:val="single" w:color="auto" w:sz="4" w:space="0"/>
            </w:tcBorders>
            <w:vAlign w:val="center"/>
          </w:tcPr>
          <w:p w14:paraId="2BCED993">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项目开始时间</w:t>
            </w:r>
          </w:p>
        </w:tc>
        <w:tc>
          <w:tcPr>
            <w:tcW w:w="1447" w:type="pct"/>
            <w:tcBorders>
              <w:top w:val="nil"/>
              <w:left w:val="nil"/>
              <w:bottom w:val="single" w:color="auto" w:sz="4" w:space="0"/>
              <w:right w:val="single" w:color="auto" w:sz="8" w:space="0"/>
            </w:tcBorders>
            <w:vAlign w:val="center"/>
          </w:tcPr>
          <w:p w14:paraId="1AF82F59">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p>
        </w:tc>
      </w:tr>
      <w:tr w14:paraId="34B6DB63">
        <w:tblPrEx>
          <w:tblCellMar>
            <w:top w:w="0" w:type="dxa"/>
            <w:left w:w="108" w:type="dxa"/>
            <w:bottom w:w="0" w:type="dxa"/>
            <w:right w:w="108" w:type="dxa"/>
          </w:tblCellMar>
        </w:tblPrEx>
        <w:trPr>
          <w:trHeight w:val="855" w:hRule="atLeast"/>
          <w:jc w:val="center"/>
        </w:trPr>
        <w:tc>
          <w:tcPr>
            <w:tcW w:w="935" w:type="pct"/>
            <w:tcBorders>
              <w:top w:val="nil"/>
              <w:left w:val="single" w:color="auto" w:sz="8" w:space="0"/>
              <w:bottom w:val="single" w:color="auto" w:sz="4" w:space="0"/>
              <w:right w:val="single" w:color="auto" w:sz="4" w:space="0"/>
            </w:tcBorders>
            <w:vAlign w:val="center"/>
          </w:tcPr>
          <w:p w14:paraId="25A34E9C">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项目结束时间</w:t>
            </w:r>
          </w:p>
        </w:tc>
        <w:tc>
          <w:tcPr>
            <w:tcW w:w="1658" w:type="pct"/>
            <w:tcBorders>
              <w:top w:val="single" w:color="auto" w:sz="4" w:space="0"/>
              <w:left w:val="nil"/>
              <w:bottom w:val="single" w:color="auto" w:sz="4" w:space="0"/>
              <w:right w:val="single" w:color="auto" w:sz="4" w:space="0"/>
            </w:tcBorders>
            <w:vAlign w:val="center"/>
          </w:tcPr>
          <w:p w14:paraId="19C32A9C">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p>
        </w:tc>
        <w:tc>
          <w:tcPr>
            <w:tcW w:w="958" w:type="pct"/>
            <w:tcBorders>
              <w:top w:val="nil"/>
              <w:left w:val="nil"/>
              <w:bottom w:val="single" w:color="auto" w:sz="4" w:space="0"/>
              <w:right w:val="single" w:color="auto" w:sz="4" w:space="0"/>
            </w:tcBorders>
            <w:vAlign w:val="center"/>
          </w:tcPr>
          <w:p w14:paraId="4F922D49">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项目联系人</w:t>
            </w:r>
          </w:p>
        </w:tc>
        <w:tc>
          <w:tcPr>
            <w:tcW w:w="1447" w:type="pct"/>
            <w:tcBorders>
              <w:top w:val="nil"/>
              <w:left w:val="nil"/>
              <w:bottom w:val="single" w:color="auto" w:sz="4" w:space="0"/>
              <w:right w:val="single" w:color="auto" w:sz="8" w:space="0"/>
            </w:tcBorders>
            <w:vAlign w:val="center"/>
          </w:tcPr>
          <w:p w14:paraId="3F535D0D">
            <w:pPr>
              <w:keepNext w:val="0"/>
              <w:keepLines w:val="0"/>
              <w:suppressLineNumbers w:val="0"/>
              <w:tabs>
                <w:tab w:val="left" w:pos="9240"/>
              </w:tabs>
              <w:spacing w:before="0" w:beforeAutospacing="0" w:after="0" w:afterAutospacing="0" w:line="360" w:lineRule="exact"/>
              <w:ind w:left="0" w:right="176" w:rightChars="84"/>
              <w:jc w:val="center"/>
              <w:rPr>
                <w:rFonts w:hint="default" w:ascii="宋体" w:hAnsi="宋体" w:eastAsia="宋体" w:cs="宋体"/>
                <w:color w:val="auto"/>
                <w:sz w:val="24"/>
                <w:highlight w:val="none"/>
              </w:rPr>
            </w:pPr>
          </w:p>
        </w:tc>
      </w:tr>
      <w:tr w14:paraId="529CEF37">
        <w:tblPrEx>
          <w:tblCellMar>
            <w:top w:w="0" w:type="dxa"/>
            <w:left w:w="108" w:type="dxa"/>
            <w:bottom w:w="0" w:type="dxa"/>
            <w:right w:w="108" w:type="dxa"/>
          </w:tblCellMar>
        </w:tblPrEx>
        <w:trPr>
          <w:trHeight w:val="2982"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6292B680">
            <w:pPr>
              <w:keepNext w:val="0"/>
              <w:keepLines w:val="0"/>
              <w:suppressLineNumbers w:val="0"/>
              <w:tabs>
                <w:tab w:val="left" w:pos="9240"/>
              </w:tabs>
              <w:spacing w:before="0" w:beforeAutospacing="0" w:after="0" w:afterAutospacing="0"/>
              <w:ind w:left="0" w:right="176" w:rightChars="84"/>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验收情况和验收意见</w:t>
            </w:r>
          </w:p>
          <w:p w14:paraId="4EE0E797">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r>
              <w:rPr>
                <w:rFonts w:hint="eastAsia" w:ascii="宋体" w:hAnsi="宋体" w:eastAsia="宋体" w:cs="宋体"/>
                <w:color w:val="auto"/>
                <w:sz w:val="24"/>
                <w:highlight w:val="none"/>
              </w:rPr>
              <w:t>（可另附）</w:t>
            </w:r>
          </w:p>
          <w:p w14:paraId="0E610D5A">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p w14:paraId="6E2A8103">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p w14:paraId="6C772CAF">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p w14:paraId="69AB8F5D">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p w14:paraId="52E97784">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p w14:paraId="44B68387">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p w14:paraId="5C230707">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p w14:paraId="085581F9">
            <w:pPr>
              <w:pStyle w:val="7"/>
              <w:suppressLineNumbers w:val="0"/>
              <w:tabs>
                <w:tab w:val="left" w:pos="9240"/>
              </w:tabs>
              <w:spacing w:beforeAutospacing="0" w:afterAutospacing="0"/>
              <w:ind w:left="0" w:right="176" w:rightChars="84"/>
              <w:rPr>
                <w:rFonts w:hint="eastAsia"/>
                <w:color w:val="auto"/>
                <w:highlight w:val="none"/>
              </w:rPr>
            </w:pPr>
          </w:p>
          <w:p w14:paraId="3992923A">
            <w:pPr>
              <w:keepNext w:val="0"/>
              <w:keepLines w:val="0"/>
              <w:suppressLineNumbers w:val="0"/>
              <w:tabs>
                <w:tab w:val="left" w:pos="9240"/>
              </w:tabs>
              <w:spacing w:before="0" w:beforeAutospacing="0" w:after="0" w:afterAutospacing="0"/>
              <w:ind w:left="0" w:right="176" w:rightChars="84"/>
              <w:rPr>
                <w:rFonts w:hint="default" w:ascii="宋体" w:hAnsi="宋体" w:eastAsia="宋体" w:cs="宋体"/>
                <w:color w:val="auto"/>
                <w:sz w:val="24"/>
                <w:highlight w:val="none"/>
              </w:rPr>
            </w:pPr>
          </w:p>
        </w:tc>
      </w:tr>
      <w:tr w14:paraId="1E94B8A2">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73C9ACFE">
            <w:pPr>
              <w:keepNext w:val="0"/>
              <w:keepLines w:val="0"/>
              <w:suppressLineNumbers w:val="0"/>
              <w:tabs>
                <w:tab w:val="left" w:pos="9240"/>
              </w:tabs>
              <w:spacing w:before="0" w:beforeAutospacing="0" w:after="0" w:afterAutospacing="0"/>
              <w:ind w:left="0" w:right="176" w:rightChars="84"/>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验收小组（签字）：</w:t>
            </w:r>
          </w:p>
          <w:p w14:paraId="5FE2C9F0">
            <w:pPr>
              <w:keepNext w:val="0"/>
              <w:keepLines w:val="0"/>
              <w:suppressLineNumbers w:val="0"/>
              <w:tabs>
                <w:tab w:val="left" w:pos="9240"/>
              </w:tabs>
              <w:spacing w:before="0" w:beforeAutospacing="0" w:after="0" w:afterAutospacing="0"/>
              <w:ind w:left="0" w:right="176" w:rightChars="84"/>
              <w:jc w:val="left"/>
              <w:rPr>
                <w:rFonts w:hint="default" w:ascii="宋体" w:hAnsi="宋体" w:eastAsia="宋体" w:cs="宋体"/>
                <w:color w:val="auto"/>
                <w:sz w:val="24"/>
                <w:highlight w:val="none"/>
              </w:rPr>
            </w:pPr>
          </w:p>
          <w:p w14:paraId="3054374A">
            <w:pPr>
              <w:keepNext w:val="0"/>
              <w:keepLines w:val="0"/>
              <w:suppressLineNumbers w:val="0"/>
              <w:tabs>
                <w:tab w:val="left" w:pos="9240"/>
              </w:tabs>
              <w:spacing w:before="0" w:beforeAutospacing="0" w:after="0" w:afterAutospacing="0"/>
              <w:ind w:left="0" w:right="176" w:rightChars="84"/>
              <w:jc w:val="right"/>
              <w:rPr>
                <w:rFonts w:hint="default"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年    月    日</w:t>
            </w:r>
          </w:p>
        </w:tc>
      </w:tr>
      <w:tr w14:paraId="6E93BF60">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49BBF0B7">
            <w:pPr>
              <w:keepNext w:val="0"/>
              <w:keepLines w:val="0"/>
              <w:suppressLineNumbers w:val="0"/>
              <w:tabs>
                <w:tab w:val="left" w:pos="9240"/>
              </w:tabs>
              <w:spacing w:before="0" w:beforeAutospacing="0" w:after="0" w:afterAutospacing="0"/>
              <w:ind w:left="0" w:right="176" w:rightChars="84"/>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供应商确认意见（签章）：</w:t>
            </w:r>
          </w:p>
          <w:p w14:paraId="04E1FAAE">
            <w:pPr>
              <w:keepNext w:val="0"/>
              <w:keepLines w:val="0"/>
              <w:suppressLineNumbers w:val="0"/>
              <w:tabs>
                <w:tab w:val="left" w:pos="9240"/>
              </w:tabs>
              <w:spacing w:before="0" w:beforeAutospacing="0" w:after="0" w:afterAutospacing="0"/>
              <w:ind w:left="0" w:right="176" w:rightChars="84"/>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w:t>
            </w:r>
          </w:p>
          <w:p w14:paraId="4EDC29CE">
            <w:pPr>
              <w:keepNext w:val="0"/>
              <w:keepLines w:val="0"/>
              <w:suppressLineNumbers w:val="0"/>
              <w:tabs>
                <w:tab w:val="left" w:pos="9240"/>
              </w:tabs>
              <w:spacing w:before="0" w:beforeAutospacing="0" w:after="0" w:afterAutospacing="0"/>
              <w:ind w:left="0" w:right="176" w:rightChars="84"/>
              <w:jc w:val="right"/>
              <w:rPr>
                <w:rFonts w:hint="default" w:ascii="宋体" w:hAnsi="宋体" w:eastAsia="宋体" w:cs="宋体"/>
                <w:color w:val="auto"/>
                <w:sz w:val="24"/>
                <w:highlight w:val="none"/>
              </w:rPr>
            </w:pPr>
            <w:r>
              <w:rPr>
                <w:rFonts w:hint="eastAsia" w:ascii="宋体" w:hAnsi="宋体" w:eastAsia="宋体" w:cs="宋体"/>
                <w:color w:val="auto"/>
                <w:sz w:val="24"/>
                <w:highlight w:val="none"/>
              </w:rPr>
              <w:t>　　　                              年    月    日</w:t>
            </w:r>
          </w:p>
        </w:tc>
      </w:tr>
      <w:tr w14:paraId="18163E2D">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8" w:space="0"/>
              <w:bottom w:val="single" w:color="auto" w:sz="4" w:space="0"/>
              <w:right w:val="single" w:color="000000" w:sz="8" w:space="0"/>
            </w:tcBorders>
          </w:tcPr>
          <w:p w14:paraId="304B250C">
            <w:pPr>
              <w:keepNext w:val="0"/>
              <w:keepLines w:val="0"/>
              <w:suppressLineNumbers w:val="0"/>
              <w:tabs>
                <w:tab w:val="left" w:pos="9240"/>
              </w:tabs>
              <w:spacing w:before="0" w:beforeAutospacing="0" w:after="0" w:afterAutospacing="0"/>
              <w:ind w:left="0" w:right="176" w:rightChars="84"/>
              <w:jc w:val="left"/>
              <w:rPr>
                <w:rFonts w:hint="default" w:ascii="宋体" w:hAnsi="宋体" w:eastAsia="宋体" w:cs="宋体"/>
                <w:color w:val="auto"/>
                <w:sz w:val="24"/>
                <w:highlight w:val="none"/>
              </w:rPr>
            </w:pPr>
            <w:r>
              <w:rPr>
                <w:rFonts w:hint="eastAsia" w:ascii="宋体" w:hAnsi="宋体" w:eastAsia="宋体" w:cs="宋体"/>
                <w:color w:val="auto"/>
                <w:sz w:val="24"/>
                <w:highlight w:val="none"/>
              </w:rPr>
              <w:t>采购人确认意见（签章）：</w:t>
            </w:r>
          </w:p>
          <w:p w14:paraId="085FC3D0">
            <w:pPr>
              <w:keepNext w:val="0"/>
              <w:keepLines w:val="0"/>
              <w:suppressLineNumbers w:val="0"/>
              <w:tabs>
                <w:tab w:val="left" w:pos="9240"/>
              </w:tabs>
              <w:spacing w:before="0" w:beforeAutospacing="0" w:after="0" w:afterAutospacing="0"/>
              <w:ind w:left="0" w:right="176" w:rightChars="84"/>
              <w:jc w:val="left"/>
              <w:rPr>
                <w:rFonts w:hint="default" w:ascii="宋体" w:hAnsi="宋体" w:eastAsia="宋体" w:cs="宋体"/>
                <w:color w:val="auto"/>
                <w:sz w:val="24"/>
                <w:highlight w:val="none"/>
              </w:rPr>
            </w:pPr>
          </w:p>
          <w:p w14:paraId="0994C428">
            <w:pPr>
              <w:keepNext w:val="0"/>
              <w:keepLines w:val="0"/>
              <w:suppressLineNumbers w:val="0"/>
              <w:tabs>
                <w:tab w:val="left" w:pos="9240"/>
              </w:tabs>
              <w:spacing w:before="0" w:beforeAutospacing="0" w:after="0" w:afterAutospacing="0"/>
              <w:ind w:left="0" w:right="176" w:rightChars="84"/>
              <w:jc w:val="right"/>
              <w:rPr>
                <w:rFonts w:hint="default" w:ascii="宋体" w:hAnsi="宋体" w:eastAsia="宋体" w:cs="宋体"/>
                <w:color w:val="auto"/>
                <w:sz w:val="24"/>
                <w:highlight w:val="none"/>
              </w:rPr>
            </w:pP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年    月    日</w:t>
            </w:r>
          </w:p>
        </w:tc>
      </w:tr>
      <w:bookmarkEnd w:id="158"/>
    </w:tbl>
    <w:p w14:paraId="4AF7197F">
      <w:pPr>
        <w:pStyle w:val="30"/>
        <w:numPr>
          <w:ilvl w:val="0"/>
          <w:numId w:val="1"/>
        </w:numPr>
        <w:tabs>
          <w:tab w:val="left" w:pos="9240"/>
        </w:tabs>
        <w:spacing w:beforeAutospacing="0" w:afterAutospacing="0" w:line="0" w:lineRule="atLeast"/>
        <w:ind w:right="176" w:rightChars="84" w:firstLine="880"/>
        <w:jc w:val="center"/>
        <w:rPr>
          <w:rFonts w:hint="eastAsia" w:ascii="宋体" w:hAnsi="宋体" w:eastAsia="宋体" w:cs="宋体"/>
          <w:b/>
          <w:bCs/>
          <w:color w:val="auto"/>
          <w:sz w:val="24"/>
          <w:szCs w:val="24"/>
          <w:highlight w:val="none"/>
          <w:lang w:val="en-US" w:eastAsia="zh-CN" w:bidi="ar-SA"/>
        </w:rPr>
      </w:pPr>
      <w:r>
        <w:rPr>
          <w:rFonts w:hint="eastAsia" w:ascii="黑体" w:hAnsi="宋体" w:eastAsia="黑体" w:cs="黑体"/>
          <w:color w:val="auto"/>
          <w:sz w:val="44"/>
          <w:szCs w:val="44"/>
          <w:highlight w:val="none"/>
        </w:rPr>
        <w:t>采购需求</w:t>
      </w:r>
      <w:bookmarkEnd w:id="159"/>
      <w:bookmarkEnd w:id="160"/>
      <w:bookmarkEnd w:id="161"/>
      <w:bookmarkEnd w:id="162"/>
      <w:bookmarkEnd w:id="163"/>
      <w:bookmarkStart w:id="168" w:name="_Toc26554093"/>
      <w:bookmarkStart w:id="169" w:name="_Toc49090575"/>
    </w:p>
    <w:p w14:paraId="55A43585">
      <w:pPr>
        <w:pStyle w:val="30"/>
        <w:numPr>
          <w:ilvl w:val="0"/>
          <w:numId w:val="0"/>
        </w:numPr>
        <w:tabs>
          <w:tab w:val="left" w:pos="9240"/>
        </w:tabs>
        <w:spacing w:beforeAutospacing="0" w:afterAutospacing="0" w:line="0" w:lineRule="atLeast"/>
        <w:ind w:right="176" w:rightChars="84"/>
        <w:jc w:val="both"/>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项目属性：货物类项目。</w:t>
      </w:r>
      <w:bookmarkEnd w:id="168"/>
      <w:bookmarkEnd w:id="169"/>
    </w:p>
    <w:p w14:paraId="61A3E9A3">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40" w:lineRule="exact"/>
        <w:ind w:right="-1147" w:rightChars="-546"/>
        <w:textAlignment w:val="top"/>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采购标的所属行业：工业。</w:t>
      </w:r>
    </w:p>
    <w:p w14:paraId="3FEE47D6">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40" w:lineRule="exact"/>
        <w:ind w:right="-1147" w:rightChars="-546"/>
        <w:textAlignment w:val="top"/>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本次采购项目核心产品为：支路哨兵</w:t>
      </w:r>
    </w:p>
    <w:p w14:paraId="63178424">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00" w:lineRule="exact"/>
        <w:ind w:right="-1147" w:rightChars="-546"/>
        <w:textAlignment w:val="top"/>
        <w:rPr>
          <w:rFonts w:hint="default" w:ascii="宋体" w:hAnsi="宋体" w:eastAsia="宋体" w:cs="宋体"/>
          <w:b/>
          <w:bCs/>
          <w:color w:val="auto"/>
          <w:sz w:val="22"/>
          <w:szCs w:val="22"/>
          <w:highlight w:val="none"/>
          <w:lang w:val="en-US" w:eastAsia="zh-CN" w:bidi="ar-SA"/>
        </w:rPr>
      </w:pPr>
      <w:bookmarkStart w:id="170" w:name="_Toc11431"/>
      <w:bookmarkStart w:id="171" w:name="_Toc120614281"/>
      <w:r>
        <w:rPr>
          <w:rFonts w:hint="eastAsia" w:ascii="宋体" w:hAnsi="宋体" w:eastAsia="宋体" w:cs="宋体"/>
          <w:b/>
          <w:bCs/>
          <w:color w:val="auto"/>
          <w:sz w:val="22"/>
          <w:szCs w:val="22"/>
          <w:highlight w:val="none"/>
          <w:lang w:val="en-US" w:eastAsia="zh-CN" w:bidi="ar-SA"/>
        </w:rPr>
        <w:t>一、项目概述</w:t>
      </w:r>
      <w:bookmarkEnd w:id="170"/>
    </w:p>
    <w:p w14:paraId="537A49B2">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00" w:lineRule="exact"/>
        <w:ind w:right="-506" w:rightChars="-241"/>
        <w:textAlignment w:val="top"/>
        <w:rPr>
          <w:rFonts w:hint="eastAsia" w:ascii="宋体" w:hAnsi="宋体" w:eastAsia="宋体" w:cs="宋体"/>
          <w:b/>
          <w:bCs/>
          <w:color w:val="auto"/>
          <w:sz w:val="22"/>
          <w:szCs w:val="22"/>
          <w:highlight w:val="none"/>
          <w:lang w:val="en-US" w:eastAsia="zh-CN" w:bidi="ar-SA"/>
        </w:rPr>
      </w:pPr>
      <w:bookmarkStart w:id="172" w:name="_Toc4906"/>
      <w:bookmarkStart w:id="173" w:name="_Toc12989"/>
      <w:bookmarkStart w:id="174" w:name="_Toc148"/>
      <w:bookmarkStart w:id="175" w:name="_Toc27114"/>
      <w:r>
        <w:rPr>
          <w:rFonts w:hint="eastAsia" w:ascii="宋体" w:hAnsi="宋体" w:eastAsia="宋体" w:cs="宋体"/>
          <w:b/>
          <w:bCs/>
          <w:color w:val="auto"/>
          <w:sz w:val="22"/>
          <w:szCs w:val="22"/>
          <w:highlight w:val="none"/>
          <w:lang w:val="en-US" w:eastAsia="zh-CN" w:bidi="ar-SA"/>
        </w:rPr>
        <w:t>1.1 项目名称</w:t>
      </w:r>
      <w:bookmarkEnd w:id="172"/>
      <w:bookmarkEnd w:id="173"/>
      <w:bookmarkEnd w:id="174"/>
      <w:bookmarkEnd w:id="175"/>
    </w:p>
    <w:p w14:paraId="3B94A2B6">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00" w:lineRule="exact"/>
        <w:ind w:right="-1147" w:rightChars="-546"/>
        <w:textAlignment w:val="top"/>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智慧公安—“农村道路交通安全提升工程”建设项目（路口视野整治项目）</w:t>
      </w:r>
    </w:p>
    <w:p w14:paraId="64FA9A8F">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00" w:lineRule="exact"/>
        <w:ind w:right="-1147" w:rightChars="-546"/>
        <w:textAlignment w:val="top"/>
        <w:rPr>
          <w:rFonts w:hint="eastAsia" w:ascii="宋体" w:hAnsi="宋体" w:eastAsia="宋体" w:cs="宋体"/>
          <w:b/>
          <w:bCs/>
          <w:color w:val="auto"/>
          <w:sz w:val="22"/>
          <w:szCs w:val="22"/>
          <w:highlight w:val="none"/>
          <w:lang w:val="en-US" w:eastAsia="zh-CN" w:bidi="ar-SA"/>
        </w:rPr>
      </w:pPr>
      <w:bookmarkStart w:id="176" w:name="_Toc7258"/>
      <w:r>
        <w:rPr>
          <w:rFonts w:hint="eastAsia" w:ascii="宋体" w:hAnsi="宋体" w:eastAsia="宋体" w:cs="宋体"/>
          <w:b/>
          <w:bCs/>
          <w:color w:val="auto"/>
          <w:sz w:val="22"/>
          <w:szCs w:val="22"/>
          <w:highlight w:val="none"/>
          <w:lang w:val="en-US" w:eastAsia="zh-CN" w:bidi="ar-SA"/>
        </w:rPr>
        <w:t>1.2 项目建设单位</w:t>
      </w:r>
      <w:bookmarkEnd w:id="176"/>
    </w:p>
    <w:p w14:paraId="74765076">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00" w:lineRule="exact"/>
        <w:ind w:right="-1147" w:rightChars="-546"/>
        <w:textAlignment w:val="top"/>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盐城市公安局大丰分局</w:t>
      </w:r>
    </w:p>
    <w:p w14:paraId="6CC57ADB">
      <w:pPr>
        <w:keepNext w:val="0"/>
        <w:keepLines w:val="0"/>
        <w:pageBreakBefore w:val="0"/>
        <w:widowControl w:val="0"/>
        <w:tabs>
          <w:tab w:val="left" w:pos="-420"/>
          <w:tab w:val="left" w:pos="9240"/>
        </w:tabs>
        <w:kinsoku w:val="0"/>
        <w:wordWrap/>
        <w:overflowPunct w:val="0"/>
        <w:topLinePunct w:val="0"/>
        <w:autoSpaceDE/>
        <w:autoSpaceDN/>
        <w:bidi w:val="0"/>
        <w:adjustRightInd w:val="0"/>
        <w:snapToGrid w:val="0"/>
        <w:spacing w:line="400" w:lineRule="exact"/>
        <w:ind w:right="-1147" w:rightChars="-546"/>
        <w:textAlignment w:val="top"/>
        <w:rPr>
          <w:rFonts w:hint="eastAsia" w:ascii="宋体" w:hAnsi="宋体" w:eastAsia="宋体" w:cs="宋体"/>
          <w:b/>
          <w:bCs/>
          <w:color w:val="auto"/>
          <w:sz w:val="22"/>
          <w:szCs w:val="22"/>
          <w:highlight w:val="none"/>
          <w:lang w:val="en-US" w:eastAsia="zh-CN" w:bidi="ar-SA"/>
        </w:rPr>
      </w:pPr>
      <w:bookmarkStart w:id="177" w:name="_Toc27662"/>
      <w:r>
        <w:rPr>
          <w:rFonts w:hint="eastAsia" w:ascii="宋体" w:hAnsi="宋体" w:eastAsia="宋体" w:cs="宋体"/>
          <w:b/>
          <w:bCs/>
          <w:color w:val="auto"/>
          <w:sz w:val="22"/>
          <w:szCs w:val="22"/>
          <w:highlight w:val="none"/>
          <w:lang w:val="en-US" w:eastAsia="zh-CN" w:bidi="ar-SA"/>
        </w:rPr>
        <w:t>1.3 设计方案和投资概算编制单位</w:t>
      </w:r>
      <w:bookmarkEnd w:id="177"/>
    </w:p>
    <w:p w14:paraId="00DFD9AB">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lang w:val="en-US" w:eastAsia="zh-CN"/>
        </w:rPr>
      </w:pPr>
      <w:r>
        <w:rPr>
          <w:rFonts w:hint="eastAsia" w:ascii="宋体" w:hAnsi="宋体" w:eastAsia="宋体" w:cs="宋体"/>
          <w:color w:val="auto"/>
          <w:kern w:val="2"/>
          <w:sz w:val="22"/>
          <w:szCs w:val="22"/>
          <w:lang w:val="en-US" w:eastAsia="zh-CN"/>
        </w:rPr>
        <w:t>中通服咨询设计研究院有限公司</w:t>
      </w:r>
      <w:bookmarkStart w:id="178" w:name="_Toc21595"/>
      <w:bookmarkStart w:id="179" w:name="_Toc7120"/>
      <w:bookmarkStart w:id="180" w:name="_Toc5849"/>
      <w:bookmarkStart w:id="181" w:name="_Toc23282"/>
    </w:p>
    <w:p w14:paraId="51834662">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b/>
          <w:bCs/>
          <w:color w:val="auto"/>
          <w:kern w:val="2"/>
          <w:sz w:val="22"/>
          <w:szCs w:val="22"/>
          <w:lang w:val="en-US" w:eastAsia="zh-CN" w:bidi="ar-SA"/>
        </w:rPr>
      </w:pPr>
      <w:r>
        <w:rPr>
          <w:rFonts w:hint="eastAsia" w:ascii="宋体" w:hAnsi="宋体" w:eastAsia="宋体" w:cs="宋体"/>
          <w:b/>
          <w:bCs/>
          <w:color w:val="auto"/>
          <w:kern w:val="2"/>
          <w:sz w:val="22"/>
          <w:szCs w:val="22"/>
          <w:lang w:val="en-US" w:eastAsia="zh-CN" w:bidi="ar-SA"/>
        </w:rPr>
        <w:t>1.4 设计方案及投资概算编制依据</w:t>
      </w:r>
      <w:bookmarkEnd w:id="178"/>
      <w:bookmarkEnd w:id="179"/>
      <w:bookmarkEnd w:id="180"/>
      <w:bookmarkEnd w:id="181"/>
      <w:bookmarkStart w:id="182" w:name="_Toc30133"/>
      <w:bookmarkStart w:id="183" w:name="_Toc15442"/>
      <w:bookmarkStart w:id="184" w:name="_Toc10384"/>
      <w:bookmarkStart w:id="185" w:name="_Toc27917"/>
    </w:p>
    <w:p w14:paraId="1582EFD6">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b/>
          <w:bCs/>
          <w:color w:val="auto"/>
          <w:kern w:val="2"/>
          <w:sz w:val="22"/>
          <w:szCs w:val="22"/>
          <w:lang w:val="en-US" w:eastAsia="zh-CN" w:bidi="ar-SA"/>
        </w:rPr>
      </w:pPr>
      <w:r>
        <w:rPr>
          <w:rFonts w:hint="eastAsia" w:ascii="宋体" w:hAnsi="宋体" w:eastAsia="宋体" w:cs="宋体"/>
          <w:b/>
          <w:bCs/>
          <w:color w:val="auto"/>
          <w:kern w:val="2"/>
          <w:sz w:val="22"/>
          <w:szCs w:val="22"/>
          <w:lang w:val="en-US" w:eastAsia="zh-CN" w:bidi="ar-SA"/>
        </w:rPr>
        <w:t>1.4.1设计编制依据</w:t>
      </w:r>
      <w:bookmarkEnd w:id="182"/>
      <w:bookmarkEnd w:id="183"/>
      <w:bookmarkEnd w:id="184"/>
      <w:bookmarkEnd w:id="185"/>
    </w:p>
    <w:p w14:paraId="09DB9106">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依据国家相关法律规章、国家和行业相关标准、相关研究成果等资料进行本设计，具体如下：</w:t>
      </w:r>
    </w:p>
    <w:p w14:paraId="139B4A8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《全国主干公路交通安全防控体系三年规划》</w:t>
      </w:r>
    </w:p>
    <w:p w14:paraId="4E96024B">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《中华人民共和国道路交通安全法》2011年5月1日</w:t>
      </w:r>
    </w:p>
    <w:p w14:paraId="79CF68C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《交通技术监控成像补光装置通用技术条件》（GA/T 1202-2022）；</w:t>
      </w:r>
    </w:p>
    <w:p w14:paraId="78112868">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《中华人民共和国公路法》2016年11月7日</w:t>
      </w:r>
    </w:p>
    <w:p w14:paraId="573A717F">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《道路危险货物运输管理规定》交通运输部令2016年第36号</w:t>
      </w:r>
    </w:p>
    <w:p w14:paraId="5E0EC55B">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《道路运输车辆动态监督管理办法》交通运输部令2016年第55号</w:t>
      </w:r>
    </w:p>
    <w:p w14:paraId="48BF34FF">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《全国公安机关图像信息联网总体技术方案》</w:t>
      </w:r>
    </w:p>
    <w:p w14:paraId="0EAC4105">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《公安交通集成指挥平台结构和功能》(GA/T1146)</w:t>
      </w:r>
    </w:p>
    <w:p w14:paraId="19715FA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《公安交通集成指挥平台通讯协议》(GA/T1049)</w:t>
      </w:r>
    </w:p>
    <w:p w14:paraId="7C52125B">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《公安交通指挥系统建设技术规范》(GA/T445)</w:t>
      </w:r>
    </w:p>
    <w:p w14:paraId="0504442D">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《公安交通指挥系统工程建设通用程序和要求》(GA/T651)</w:t>
      </w:r>
    </w:p>
    <w:p w14:paraId="73885A82">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《安全防范视频监控联网系统传输、交换、控制技术要求》(GB/T28181-2011)</w:t>
      </w:r>
    </w:p>
    <w:p w14:paraId="7744D56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《视频安防监控系统技术要求》(GA/T367-2001)</w:t>
      </w:r>
    </w:p>
    <w:p w14:paraId="4BB7701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《道路交通信息监测记录设备设置规范》(GA/T1047)</w:t>
      </w:r>
    </w:p>
    <w:p w14:paraId="065E7038">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《公路车辆智能监测记录系统通用技术条件》(GA/T497)</w:t>
      </w:r>
    </w:p>
    <w:p w14:paraId="6ECB7523">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《道路通行状态信息发布规范》(GA/T994)</w:t>
      </w:r>
    </w:p>
    <w:p w14:paraId="56B5C836">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《公安车载应急通信系统技术规范》(GA/T528)</w:t>
      </w:r>
    </w:p>
    <w:p w14:paraId="5B5F469E">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《道路交通违法管理信息代码》(GA408)</w:t>
      </w:r>
    </w:p>
    <w:p w14:paraId="3B3A0913">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《公安交通管理信息系统安全防范体系建设规范》</w:t>
      </w:r>
    </w:p>
    <w:p w14:paraId="24D2C1EE">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《公安信息通信网边界接入平台安全规范》</w:t>
      </w:r>
    </w:p>
    <w:p w14:paraId="6A0A3FF1">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《信息安全技术信息系统灾难恢复规范》</w:t>
      </w:r>
    </w:p>
    <w:p w14:paraId="27DE0B6D">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《全国公安交通管理信息系统安全备份建设指导意见》</w:t>
      </w:r>
    </w:p>
    <w:p w14:paraId="53DBB52C">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《安全防范监控数字视音频编解码技术要求》(GB/T27524-2010)</w:t>
      </w:r>
    </w:p>
    <w:p w14:paraId="6920EFF5">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left="-420" w:leftChars="-200" w:right="-1147" w:rightChars="-546"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《安全防范视频监控联网系统信息传输、交换、控制技术要求》（GB/T28181-2011）</w:t>
      </w:r>
    </w:p>
    <w:p w14:paraId="0128BED1">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《城市道路交通规划设计规范》（GB50220-2005）</w:t>
      </w:r>
    </w:p>
    <w:p w14:paraId="0F30D5F6">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《城镇道路路面设计规范》（CJJ 169-2012）；</w:t>
      </w:r>
    </w:p>
    <w:p w14:paraId="2843FC62">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《城市道路交通设施设计规范》（GB50688-2011）；</w:t>
      </w:r>
    </w:p>
    <w:p w14:paraId="00A0E647">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《电气装置安装工程电缆线路施工及验收规范》（GB501168-92）</w:t>
      </w:r>
    </w:p>
    <w:p w14:paraId="43F7B869">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《低压配电装置及线路设计规范》（GB50054-2011）</w:t>
      </w:r>
    </w:p>
    <w:p w14:paraId="23F7E4F7">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《电器装置安装工程电缆线路施工及验收规范》（GB50168-2002）</w:t>
      </w:r>
    </w:p>
    <w:p w14:paraId="5116BFF7">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《电器装置安装工程接地装置施工及验收规范》（GB50169-2002）</w:t>
      </w:r>
    </w:p>
    <w:p w14:paraId="4E428C6F">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《安全防范工作工作技术》GB50348-2004</w:t>
      </w:r>
    </w:p>
    <w:p w14:paraId="4E04E52D">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《智能运输系统通用术语》（GB/T20839-2007）</w:t>
      </w:r>
    </w:p>
    <w:p w14:paraId="6B7EACA7">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《智能运输系统数据字典要求》（GB/T20606-2006）</w:t>
      </w:r>
    </w:p>
    <w:p w14:paraId="196D47AE">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《智能运输系统体系结构服务》（GB/T20607-2006）</w:t>
      </w:r>
    </w:p>
    <w:p w14:paraId="182BDAA5">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《机动车测速仪》（GB/T 21255-2007 ）</w:t>
      </w:r>
    </w:p>
    <w:p w14:paraId="753145F6">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《机动车区间测速技术规范》（GA/T 959-2011） </w:t>
      </w:r>
    </w:p>
    <w:p w14:paraId="1D1CC346">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《道路交通信息采集信息分类与编码》（GB/T20133-2006）</w:t>
      </w:r>
    </w:p>
    <w:p w14:paraId="228DC67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《道路交通信息采集事件信息集》（GB/T20134-2006）</w:t>
      </w:r>
    </w:p>
    <w:p w14:paraId="1352C42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《软件包质量要求和测试》（GB/T－17511）；</w:t>
      </w:r>
    </w:p>
    <w:p w14:paraId="03F67CFF">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《计算机信息系统安全保护等级划分准则》（GB 17859-1999）</w:t>
      </w:r>
    </w:p>
    <w:p w14:paraId="5E503EFC">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《公安交通指挥系统建设技术规范》（GA/T445-2010）</w:t>
      </w:r>
    </w:p>
    <w:p w14:paraId="13960372">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《城市警用地理信息系统分类与代码》（GA/T491）</w:t>
      </w:r>
    </w:p>
    <w:p w14:paraId="11574941">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《城市警用地理信息系统图形符号》（GA/T492）</w:t>
      </w:r>
    </w:p>
    <w:p w14:paraId="597A1B35">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《城市警用地理信息系统建设规范》（GA/T493）</w:t>
      </w:r>
    </w:p>
    <w:p w14:paraId="307B1819">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《道路交通安全违法行为图像取证技术规范》（GA/T832-2014）</w:t>
      </w:r>
    </w:p>
    <w:p w14:paraId="0EDB1DF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《机动车号牌图像自动识别技术规范》（GA/T833—2009）</w:t>
      </w:r>
    </w:p>
    <w:p w14:paraId="02748A34">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《安全防范系统验收规范》GA308-2001</w:t>
      </w:r>
    </w:p>
    <w:p w14:paraId="2CBABC15">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《安全防范系统通用图形符号》GA\T74-2000</w:t>
      </w:r>
    </w:p>
    <w:p w14:paraId="27215976">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《安全防范工程程序与要求》 GA\T74-1994</w:t>
      </w:r>
    </w:p>
    <w:p w14:paraId="6AA5016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《安全防范工程费用预算编制办法》 GA\T70-2004</w:t>
      </w:r>
    </w:p>
    <w:p w14:paraId="0C07A71E">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《城市监控报警联网系统通用技术要求》GA/T669-2006</w:t>
      </w:r>
    </w:p>
    <w:p w14:paraId="15A3A4D6">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《安全防范系统雷电浪涌防护技术要求》GA/T670-2006</w:t>
      </w:r>
    </w:p>
    <w:p w14:paraId="7F8DD12E">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《城市交通信号控制系统术语》（GA/T509-2004）</w:t>
      </w:r>
    </w:p>
    <w:p w14:paraId="4E025F0F">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《公安交通指挥系统设计规范》（GA/T515-2011）</w:t>
      </w:r>
    </w:p>
    <w:p w14:paraId="224D76F2">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《警用电子地图坐标系与比例尺》（GA/T629-2006）</w:t>
      </w:r>
    </w:p>
    <w:p w14:paraId="63D57B6C">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《城市警用地理信息空间数据质量》（GA/T628-2006）</w:t>
      </w:r>
    </w:p>
    <w:p w14:paraId="674CD2C5">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《城市警用地理信息数据采集与更新规范》（GA/T627-2006）</w:t>
      </w:r>
    </w:p>
    <w:p w14:paraId="7E7EC55D">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《信息安全管理实用规则》（ISO/IEC17799）</w:t>
      </w:r>
    </w:p>
    <w:p w14:paraId="5C38FE8D">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《计算机软件开发规范》（GB8566-88）</w:t>
      </w:r>
    </w:p>
    <w:p w14:paraId="4528CAC6">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《信息技术开放系统互连网络层安全协议》（GB/T17963）</w:t>
      </w:r>
    </w:p>
    <w:p w14:paraId="7A477361">
      <w:pPr>
        <w:keepNext w:val="0"/>
        <w:keepLines w:val="0"/>
        <w:pageBreakBefore w:val="0"/>
        <w:widowControl w:val="0"/>
        <w:tabs>
          <w:tab w:val="left" w:pos="9240"/>
        </w:tabs>
        <w:kinsoku w:val="0"/>
        <w:wordWrap/>
        <w:overflowPunct w:val="0"/>
        <w:topLinePunct w:val="0"/>
        <w:autoSpaceDE w:val="0"/>
        <w:autoSpaceDN w:val="0"/>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《电子计算机机房设计规范》(GB50174-2007)</w:t>
      </w:r>
    </w:p>
    <w:p w14:paraId="2BACC8C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《视频安防监控系统技术要求》（GA/T367）</w:t>
      </w:r>
    </w:p>
    <w:p w14:paraId="71F41BF8">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《社会治安动态视频监控系统技术规范》（DB33/T502—2004）</w:t>
      </w:r>
    </w:p>
    <w:p w14:paraId="106FFF8E">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《信息标准-计算机信息系统安全等》(GA216.1—1999)</w:t>
      </w:r>
    </w:p>
    <w:p w14:paraId="4D4EA83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《城市交通信号控制系统术语》（GA/T 509-2004）</w:t>
      </w:r>
    </w:p>
    <w:p w14:paraId="6DF53E22">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《公安视频图像信息应用系统第1部分：通用技术要求》（GAT 1400.1-2017）</w:t>
      </w:r>
    </w:p>
    <w:p w14:paraId="483D1E8B">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《公安视频图像信息应用系统第2部分：应用平台技术要求》（GAT 1400.2-2017）</w:t>
      </w:r>
    </w:p>
    <w:p w14:paraId="04E38CCD">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《公安视频图像信息应用系统第3部分：数据库技术要求》（GAT 1400.3-2017）</w:t>
      </w:r>
    </w:p>
    <w:p w14:paraId="600B43E3">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《公安视频图像信息应用系统第4部分：接口协议要求》（GAT 1400.4-2017）</w:t>
      </w:r>
    </w:p>
    <w:p w14:paraId="3B5C240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《公安视频图像分析系统第1部分通用技术要求》（GAT1399.1-2017）</w:t>
      </w:r>
    </w:p>
    <w:p w14:paraId="5148843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right="-1147" w:rightChars="-546"/>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《公安视频图像分析系统第2部分视频图像内容分析及描述技术要求》（GAT 1399.2-2017）</w:t>
      </w:r>
    </w:p>
    <w:p w14:paraId="2C58B730">
      <w:pPr>
        <w:keepNext w:val="0"/>
        <w:keepLines w:val="0"/>
        <w:pageBreakBefore w:val="0"/>
        <w:widowControl w:val="0"/>
        <w:tabs>
          <w:tab w:val="left" w:pos="9240"/>
        </w:tabs>
        <w:kinsoku w:val="0"/>
        <w:wordWrap/>
        <w:overflowPunct w:val="0"/>
        <w:topLinePunct w:val="0"/>
        <w:autoSpaceDE/>
        <w:autoSpaceDN/>
        <w:bidi w:val="0"/>
        <w:adjustRightInd w:val="0"/>
        <w:snapToGrid w:val="0"/>
        <w:spacing w:before="260" w:after="260" w:line="400" w:lineRule="exact"/>
        <w:ind w:firstLine="442" w:firstLineChars="200"/>
        <w:jc w:val="left"/>
        <w:textAlignment w:val="top"/>
        <w:outlineLvl w:val="2"/>
        <w:rPr>
          <w:rFonts w:hint="eastAsia" w:ascii="宋体" w:hAnsi="宋体" w:eastAsia="宋体" w:cs="宋体"/>
          <w:b/>
          <w:bCs/>
          <w:color w:val="auto"/>
          <w:kern w:val="2"/>
          <w:sz w:val="22"/>
          <w:szCs w:val="22"/>
          <w:lang w:val="en-US" w:eastAsia="zh-CN" w:bidi="ar-SA"/>
        </w:rPr>
      </w:pPr>
      <w:bookmarkStart w:id="186" w:name="_Toc23925"/>
      <w:bookmarkStart w:id="187" w:name="_Toc16043"/>
      <w:bookmarkStart w:id="188" w:name="_Toc2467"/>
      <w:bookmarkStart w:id="189" w:name="_Toc29850"/>
      <w:r>
        <w:rPr>
          <w:rFonts w:hint="eastAsia" w:ascii="宋体" w:hAnsi="宋体" w:eastAsia="宋体" w:cs="宋体"/>
          <w:b/>
          <w:bCs/>
          <w:color w:val="auto"/>
          <w:kern w:val="2"/>
          <w:sz w:val="22"/>
          <w:szCs w:val="22"/>
          <w:lang w:val="en-US" w:eastAsia="zh-CN" w:bidi="ar-SA"/>
        </w:rPr>
        <w:t>1.4.2概算编制依据</w:t>
      </w:r>
      <w:bookmarkEnd w:id="186"/>
      <w:bookmarkEnd w:id="187"/>
      <w:bookmarkEnd w:id="188"/>
      <w:bookmarkEnd w:id="189"/>
    </w:p>
    <w:p w14:paraId="60E7705E">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（1）江苏省住房和城乡建设厅《江苏省建设工程费用定额（2014年）》（苏建价【2014】299号）。</w:t>
      </w:r>
    </w:p>
    <w:p w14:paraId="701371CB">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（2）住房和城乡建设部办公厅《关于做好建筑业营改增建设工程计价依据调整准备工作的通知》（建办标【2016】4号）。</w:t>
      </w:r>
    </w:p>
    <w:p w14:paraId="17BC668F">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（3）江苏省住房和城乡建设厅《关于建筑业实施营改增后江苏省建设工程计价依据调整的通知》（苏建价【2016】154号）。</w:t>
      </w:r>
    </w:p>
    <w:p w14:paraId="263D761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（4）江苏省住房和城乡建设厅《关于发布建设工程人工工资指导价的通知》（苏建函价【2019】142号）</w:t>
      </w:r>
    </w:p>
    <w:p w14:paraId="08D6C85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（5）财政部、国家安全生产监督管理总局《企业安全生产费用提取和使用管理办法》（财企【2012】16号）</w:t>
      </w:r>
    </w:p>
    <w:p w14:paraId="0CC4B735">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（6）财政部《基本建设项目建设成本规定》（财建【2016年】504号）。</w:t>
      </w:r>
    </w:p>
    <w:p w14:paraId="6498F2F1">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（7）建设单位下发的关于本工程的概算编制的意见。</w:t>
      </w:r>
    </w:p>
    <w:p w14:paraId="3791586D">
      <w:pPr>
        <w:keepNext w:val="0"/>
        <w:keepLines w:val="0"/>
        <w:pageBreakBefore w:val="0"/>
        <w:widowControl w:val="0"/>
        <w:tabs>
          <w:tab w:val="left" w:pos="9240"/>
        </w:tabs>
        <w:kinsoku w:val="0"/>
        <w:wordWrap/>
        <w:overflowPunct w:val="0"/>
        <w:topLinePunct w:val="0"/>
        <w:autoSpaceDE/>
        <w:autoSpaceDN/>
        <w:bidi w:val="0"/>
        <w:adjustRightInd w:val="0"/>
        <w:snapToGrid w:val="0"/>
        <w:spacing w:before="260" w:after="260" w:line="400" w:lineRule="exact"/>
        <w:ind w:firstLine="442" w:firstLineChars="200"/>
        <w:jc w:val="left"/>
        <w:textAlignment w:val="top"/>
        <w:outlineLvl w:val="1"/>
        <w:rPr>
          <w:rFonts w:hint="eastAsia" w:ascii="宋体" w:hAnsi="宋体" w:eastAsia="宋体" w:cs="宋体"/>
          <w:b/>
          <w:bCs/>
          <w:color w:val="auto"/>
          <w:kern w:val="2"/>
          <w:sz w:val="22"/>
          <w:szCs w:val="22"/>
          <w:lang w:val="en-US" w:eastAsia="zh-CN" w:bidi="ar-SA"/>
        </w:rPr>
      </w:pPr>
      <w:bookmarkStart w:id="190" w:name="_Toc14828"/>
      <w:r>
        <w:rPr>
          <w:rFonts w:hint="eastAsia" w:ascii="宋体" w:hAnsi="宋体" w:eastAsia="宋体" w:cs="宋体"/>
          <w:b/>
          <w:bCs/>
          <w:color w:val="auto"/>
          <w:kern w:val="2"/>
          <w:sz w:val="22"/>
          <w:szCs w:val="22"/>
          <w:lang w:val="en-US" w:eastAsia="zh-CN" w:bidi="ar-SA"/>
        </w:rPr>
        <w:t>1.5项目建设背景、规模、内容、工程合理使用年限</w:t>
      </w:r>
      <w:bookmarkEnd w:id="190"/>
    </w:p>
    <w:p w14:paraId="7B396BD7">
      <w:pPr>
        <w:keepNext w:val="0"/>
        <w:keepLines w:val="0"/>
        <w:pageBreakBefore w:val="0"/>
        <w:widowControl w:val="0"/>
        <w:tabs>
          <w:tab w:val="left" w:pos="9240"/>
        </w:tabs>
        <w:kinsoku w:val="0"/>
        <w:wordWrap/>
        <w:overflowPunct w:val="0"/>
        <w:topLinePunct w:val="0"/>
        <w:autoSpaceDE/>
        <w:autoSpaceDN/>
        <w:bidi w:val="0"/>
        <w:adjustRightInd w:val="0"/>
        <w:snapToGrid w:val="0"/>
        <w:spacing w:before="260" w:after="260" w:line="400" w:lineRule="exact"/>
        <w:ind w:firstLine="442" w:firstLineChars="200"/>
        <w:jc w:val="left"/>
        <w:textAlignment w:val="top"/>
        <w:outlineLvl w:val="2"/>
        <w:rPr>
          <w:rFonts w:hint="eastAsia" w:ascii="宋体" w:hAnsi="宋体" w:eastAsia="宋体" w:cs="宋体"/>
          <w:b/>
          <w:bCs/>
          <w:color w:val="auto"/>
          <w:kern w:val="2"/>
          <w:sz w:val="22"/>
          <w:szCs w:val="22"/>
          <w:lang w:val="en-US" w:eastAsia="zh-CN" w:bidi="ar-SA"/>
        </w:rPr>
      </w:pPr>
      <w:bookmarkStart w:id="191" w:name="_Toc9890"/>
      <w:r>
        <w:rPr>
          <w:rFonts w:hint="eastAsia" w:ascii="宋体" w:hAnsi="宋体" w:eastAsia="宋体" w:cs="宋体"/>
          <w:b/>
          <w:bCs/>
          <w:color w:val="auto"/>
          <w:kern w:val="2"/>
          <w:sz w:val="22"/>
          <w:szCs w:val="22"/>
          <w:lang w:val="en-US" w:eastAsia="zh-CN" w:bidi="ar-SA"/>
        </w:rPr>
        <w:t>1.5.1建设背景</w:t>
      </w:r>
      <w:bookmarkEnd w:id="191"/>
    </w:p>
    <w:p w14:paraId="47096D32">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随着城镇化和农业现代化的快速发展，农村地区道路机动化水平不断提高，由此带来的交通安全隐患也日益突出，尤其是交叉口、路侧搭接口、道路开口交通事故高发。为改善农村地区道路出行条件，提高农村地区道路交通安全水平，积极防范和减少道路交通事故，本次重点针对农村道路交叉口、路侧搭接口、道路开口的道路安全隐患，制定了治理对策。</w:t>
      </w:r>
      <w:bookmarkStart w:id="192" w:name="_Toc427250416"/>
    </w:p>
    <w:bookmarkEnd w:id="192"/>
    <w:p w14:paraId="47C22F7F">
      <w:pPr>
        <w:keepNext w:val="0"/>
        <w:keepLines w:val="0"/>
        <w:pageBreakBefore w:val="0"/>
        <w:widowControl w:val="0"/>
        <w:tabs>
          <w:tab w:val="left" w:pos="9240"/>
        </w:tabs>
        <w:kinsoku w:val="0"/>
        <w:wordWrap/>
        <w:overflowPunct w:val="0"/>
        <w:topLinePunct w:val="0"/>
        <w:autoSpaceDE/>
        <w:autoSpaceDN/>
        <w:bidi w:val="0"/>
        <w:adjustRightInd w:val="0"/>
        <w:snapToGrid w:val="0"/>
        <w:spacing w:before="260" w:after="260" w:line="400" w:lineRule="exact"/>
        <w:ind w:firstLine="442" w:firstLineChars="200"/>
        <w:jc w:val="left"/>
        <w:textAlignment w:val="top"/>
        <w:outlineLvl w:val="2"/>
        <w:rPr>
          <w:rFonts w:hint="eastAsia" w:ascii="宋体" w:hAnsi="宋体" w:eastAsia="宋体" w:cs="宋体"/>
          <w:b/>
          <w:bCs/>
          <w:color w:val="auto"/>
          <w:kern w:val="2"/>
          <w:sz w:val="22"/>
          <w:szCs w:val="22"/>
          <w:lang w:val="en-US" w:eastAsia="zh-CN" w:bidi="ar-SA"/>
        </w:rPr>
      </w:pPr>
      <w:bookmarkStart w:id="193" w:name="_Toc25193"/>
      <w:r>
        <w:rPr>
          <w:rFonts w:hint="eastAsia" w:ascii="宋体" w:hAnsi="宋体" w:eastAsia="宋体" w:cs="宋体"/>
          <w:b/>
          <w:bCs/>
          <w:color w:val="auto"/>
          <w:kern w:val="2"/>
          <w:sz w:val="22"/>
          <w:szCs w:val="22"/>
          <w:lang w:val="en-US" w:eastAsia="zh-CN" w:bidi="ar-SA"/>
        </w:rPr>
        <w:t>1.5.2建设规模、内容</w:t>
      </w:r>
      <w:bookmarkEnd w:id="193"/>
    </w:p>
    <w:p w14:paraId="4B0CFFB1">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一、</w:t>
      </w:r>
      <w:r>
        <w:rPr>
          <w:rFonts w:hint="eastAsia" w:ascii="宋体" w:hAnsi="宋体" w:eastAsia="宋体" w:cs="宋体"/>
          <w:color w:val="auto"/>
          <w:kern w:val="2"/>
          <w:sz w:val="22"/>
          <w:szCs w:val="22"/>
          <w:lang w:val="en-US" w:eastAsia="zh-CN"/>
        </w:rPr>
        <w:t>区间车速：</w:t>
      </w:r>
    </w:p>
    <w:p w14:paraId="204FDB4B">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本期项目共计新建1处</w:t>
      </w:r>
      <w:r>
        <w:rPr>
          <w:rFonts w:hint="eastAsia" w:ascii="宋体" w:hAnsi="宋体" w:eastAsia="宋体" w:cs="宋体"/>
          <w:color w:val="auto"/>
          <w:kern w:val="2"/>
          <w:sz w:val="22"/>
          <w:szCs w:val="22"/>
          <w:lang w:val="en-US" w:eastAsia="zh-CN"/>
        </w:rPr>
        <w:t>区间测速</w:t>
      </w:r>
      <w:r>
        <w:rPr>
          <w:rFonts w:hint="eastAsia" w:ascii="宋体" w:hAnsi="宋体" w:eastAsia="宋体" w:cs="宋体"/>
          <w:color w:val="auto"/>
          <w:kern w:val="2"/>
          <w:sz w:val="22"/>
          <w:szCs w:val="22"/>
        </w:rPr>
        <w:t>抓拍点位，</w:t>
      </w:r>
    </w:p>
    <w:p w14:paraId="1E15EB19">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二、</w:t>
      </w:r>
      <w:r>
        <w:rPr>
          <w:rFonts w:hint="eastAsia" w:ascii="宋体" w:hAnsi="宋体" w:eastAsia="宋体" w:cs="宋体"/>
          <w:color w:val="auto"/>
          <w:kern w:val="2"/>
          <w:sz w:val="22"/>
          <w:szCs w:val="22"/>
          <w:lang w:val="en-US" w:eastAsia="zh-CN"/>
        </w:rPr>
        <w:t>高杆灯</w:t>
      </w:r>
      <w:r>
        <w:rPr>
          <w:rFonts w:hint="eastAsia" w:ascii="宋体" w:hAnsi="宋体" w:eastAsia="宋体" w:cs="宋体"/>
          <w:color w:val="auto"/>
          <w:kern w:val="2"/>
          <w:sz w:val="22"/>
          <w:szCs w:val="22"/>
        </w:rPr>
        <w:t>：</w:t>
      </w:r>
    </w:p>
    <w:p w14:paraId="3F17DA28">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本期项目共计建设</w:t>
      </w:r>
      <w:r>
        <w:rPr>
          <w:rFonts w:hint="eastAsia" w:ascii="宋体" w:hAnsi="宋体" w:eastAsia="宋体" w:cs="宋体"/>
          <w:color w:val="auto"/>
          <w:kern w:val="2"/>
          <w:sz w:val="22"/>
          <w:szCs w:val="22"/>
          <w:lang w:val="en-US" w:eastAsia="zh-CN"/>
        </w:rPr>
        <w:t>4</w:t>
      </w:r>
      <w:r>
        <w:rPr>
          <w:rFonts w:hint="eastAsia" w:ascii="宋体" w:hAnsi="宋体" w:eastAsia="宋体" w:cs="宋体"/>
          <w:color w:val="auto"/>
          <w:kern w:val="2"/>
          <w:sz w:val="22"/>
          <w:szCs w:val="22"/>
        </w:rPr>
        <w:t>处</w:t>
      </w:r>
      <w:r>
        <w:rPr>
          <w:rFonts w:hint="eastAsia" w:ascii="宋体" w:hAnsi="宋体" w:eastAsia="宋体" w:cs="宋体"/>
          <w:color w:val="auto"/>
          <w:kern w:val="2"/>
          <w:sz w:val="22"/>
          <w:szCs w:val="22"/>
          <w:lang w:val="en-US" w:eastAsia="zh-CN"/>
        </w:rPr>
        <w:t>高杆灯</w:t>
      </w:r>
      <w:r>
        <w:rPr>
          <w:rFonts w:hint="eastAsia" w:ascii="宋体" w:hAnsi="宋体" w:eastAsia="宋体" w:cs="宋体"/>
          <w:color w:val="auto"/>
          <w:kern w:val="2"/>
          <w:sz w:val="22"/>
          <w:szCs w:val="22"/>
        </w:rPr>
        <w:t>点位，</w:t>
      </w:r>
    </w:p>
    <w:p w14:paraId="18F7383A">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三、</w:t>
      </w:r>
      <w:r>
        <w:rPr>
          <w:rFonts w:hint="eastAsia" w:ascii="宋体" w:hAnsi="宋体" w:eastAsia="宋体" w:cs="宋体"/>
          <w:color w:val="auto"/>
          <w:kern w:val="2"/>
          <w:sz w:val="22"/>
          <w:szCs w:val="22"/>
          <w:lang w:val="en-US" w:eastAsia="zh-CN"/>
        </w:rPr>
        <w:t>支路哨兵</w:t>
      </w:r>
      <w:r>
        <w:rPr>
          <w:rFonts w:hint="eastAsia" w:ascii="宋体" w:hAnsi="宋体" w:eastAsia="宋体" w:cs="宋体"/>
          <w:color w:val="auto"/>
          <w:kern w:val="2"/>
          <w:sz w:val="22"/>
          <w:szCs w:val="22"/>
        </w:rPr>
        <w:t>：</w:t>
      </w:r>
    </w:p>
    <w:p w14:paraId="0570AEB0">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本期项目共计建设</w:t>
      </w:r>
      <w:r>
        <w:rPr>
          <w:rFonts w:hint="eastAsia" w:ascii="宋体" w:hAnsi="宋体" w:eastAsia="宋体" w:cs="宋体"/>
          <w:color w:val="auto"/>
          <w:kern w:val="2"/>
          <w:sz w:val="22"/>
          <w:szCs w:val="22"/>
          <w:lang w:val="en-US" w:eastAsia="zh-CN"/>
        </w:rPr>
        <w:t>6</w:t>
      </w:r>
      <w:r>
        <w:rPr>
          <w:rFonts w:hint="eastAsia" w:ascii="宋体" w:hAnsi="宋体" w:eastAsia="宋体" w:cs="宋体"/>
          <w:color w:val="auto"/>
          <w:kern w:val="2"/>
          <w:sz w:val="22"/>
          <w:szCs w:val="22"/>
        </w:rPr>
        <w:t>处</w:t>
      </w:r>
      <w:r>
        <w:rPr>
          <w:rFonts w:hint="eastAsia" w:ascii="宋体" w:hAnsi="宋体" w:eastAsia="宋体" w:cs="宋体"/>
          <w:color w:val="auto"/>
          <w:kern w:val="2"/>
          <w:sz w:val="22"/>
          <w:szCs w:val="22"/>
          <w:lang w:val="en-US" w:eastAsia="zh-CN"/>
        </w:rPr>
        <w:t>支路哨兵</w:t>
      </w:r>
      <w:r>
        <w:rPr>
          <w:rFonts w:hint="eastAsia" w:ascii="宋体" w:hAnsi="宋体" w:eastAsia="宋体" w:cs="宋体"/>
          <w:color w:val="auto"/>
          <w:kern w:val="2"/>
          <w:sz w:val="22"/>
          <w:szCs w:val="22"/>
        </w:rPr>
        <w:t>系统点位，</w:t>
      </w:r>
    </w:p>
    <w:p w14:paraId="65F2BF87">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四、</w:t>
      </w:r>
      <w:r>
        <w:rPr>
          <w:rFonts w:hint="eastAsia" w:ascii="宋体" w:hAnsi="宋体" w:eastAsia="宋体" w:cs="宋体"/>
          <w:color w:val="auto"/>
          <w:kern w:val="2"/>
          <w:sz w:val="22"/>
          <w:szCs w:val="22"/>
          <w:lang w:val="en-US" w:eastAsia="zh-CN"/>
        </w:rPr>
        <w:t>标识标牌</w:t>
      </w:r>
      <w:r>
        <w:rPr>
          <w:rFonts w:hint="eastAsia" w:ascii="宋体" w:hAnsi="宋体" w:eastAsia="宋体" w:cs="宋体"/>
          <w:color w:val="auto"/>
          <w:kern w:val="2"/>
          <w:sz w:val="22"/>
          <w:szCs w:val="22"/>
        </w:rPr>
        <w:t>提醒：</w:t>
      </w:r>
    </w:p>
    <w:p w14:paraId="0038C048">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lang w:val="en-US" w:eastAsia="zh-CN"/>
        </w:rPr>
      </w:pPr>
      <w:r>
        <w:rPr>
          <w:rFonts w:hint="eastAsia" w:ascii="宋体" w:hAnsi="宋体" w:eastAsia="宋体" w:cs="宋体"/>
          <w:color w:val="auto"/>
          <w:kern w:val="2"/>
          <w:sz w:val="22"/>
          <w:szCs w:val="22"/>
        </w:rPr>
        <w:t>本期项目共计建设</w:t>
      </w:r>
      <w:r>
        <w:rPr>
          <w:rFonts w:hint="eastAsia" w:ascii="宋体" w:hAnsi="宋体" w:eastAsia="宋体" w:cs="宋体"/>
          <w:color w:val="auto"/>
          <w:kern w:val="2"/>
          <w:sz w:val="22"/>
          <w:szCs w:val="22"/>
          <w:lang w:val="en-US" w:eastAsia="zh-CN"/>
        </w:rPr>
        <w:t>122块标识标牌</w:t>
      </w:r>
    </w:p>
    <w:p w14:paraId="55ABA62D">
      <w:pPr>
        <w:keepNext w:val="0"/>
        <w:keepLines w:val="0"/>
        <w:pageBreakBefore w:val="0"/>
        <w:widowControl w:val="0"/>
        <w:tabs>
          <w:tab w:val="left" w:pos="9240"/>
        </w:tabs>
        <w:kinsoku w:val="0"/>
        <w:wordWrap/>
        <w:overflowPunct w:val="0"/>
        <w:topLinePunct w:val="0"/>
        <w:autoSpaceDE/>
        <w:autoSpaceDN/>
        <w:bidi w:val="0"/>
        <w:adjustRightInd w:val="0"/>
        <w:snapToGrid w:val="0"/>
        <w:spacing w:before="260" w:after="260" w:line="400" w:lineRule="exact"/>
        <w:ind w:firstLine="442" w:firstLineChars="200"/>
        <w:jc w:val="left"/>
        <w:textAlignment w:val="top"/>
        <w:outlineLvl w:val="2"/>
        <w:rPr>
          <w:rFonts w:hint="eastAsia" w:ascii="宋体" w:hAnsi="宋体" w:eastAsia="宋体" w:cs="宋体"/>
          <w:b/>
          <w:bCs/>
          <w:color w:val="auto"/>
          <w:kern w:val="2"/>
          <w:sz w:val="22"/>
          <w:szCs w:val="22"/>
          <w:lang w:val="en-US" w:eastAsia="zh-CN" w:bidi="ar-SA"/>
        </w:rPr>
      </w:pPr>
      <w:bookmarkStart w:id="194" w:name="_Toc16780"/>
      <w:r>
        <w:rPr>
          <w:rFonts w:hint="eastAsia" w:ascii="宋体" w:hAnsi="宋体" w:eastAsia="宋体" w:cs="宋体"/>
          <w:b/>
          <w:bCs/>
          <w:color w:val="auto"/>
          <w:kern w:val="2"/>
          <w:sz w:val="22"/>
          <w:szCs w:val="22"/>
          <w:lang w:val="en-US" w:eastAsia="zh-CN" w:bidi="ar-SA"/>
        </w:rPr>
        <w:t>1.5.3工程满足期和工程合理使用年限</w:t>
      </w:r>
      <w:bookmarkEnd w:id="194"/>
    </w:p>
    <w:p w14:paraId="7773F86F">
      <w:pPr>
        <w:keepNext w:val="0"/>
        <w:keepLines w:val="0"/>
        <w:pageBreakBefore w:val="0"/>
        <w:widowControl w:val="0"/>
        <w:tabs>
          <w:tab w:val="left" w:pos="9240"/>
        </w:tabs>
        <w:kinsoku w:val="0"/>
        <w:wordWrap/>
        <w:overflowPunct w:val="0"/>
        <w:topLinePunct w:val="0"/>
        <w:autoSpaceDE/>
        <w:autoSpaceDN/>
        <w:bidi w:val="0"/>
        <w:adjustRightInd w:val="0"/>
        <w:snapToGrid w:val="0"/>
        <w:spacing w:line="400" w:lineRule="exact"/>
        <w:ind w:firstLine="440" w:firstLineChars="200"/>
        <w:jc w:val="left"/>
        <w:textAlignment w:val="top"/>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工程合理使用年限为5年。</w:t>
      </w:r>
    </w:p>
    <w:p w14:paraId="6A622114">
      <w:pPr>
        <w:keepNext/>
        <w:keepLines/>
        <w:pageBreakBefore w:val="0"/>
        <w:widowControl w:val="0"/>
        <w:numPr>
          <w:ilvl w:val="0"/>
          <w:numId w:val="2"/>
        </w:numPr>
        <w:tabs>
          <w:tab w:val="left" w:pos="3165"/>
          <w:tab w:val="center" w:pos="4594"/>
          <w:tab w:val="left" w:pos="9240"/>
        </w:tabs>
        <w:kinsoku/>
        <w:wordWrap/>
        <w:overflowPunct/>
        <w:topLinePunct w:val="0"/>
        <w:autoSpaceDE/>
        <w:autoSpaceDN/>
        <w:bidi w:val="0"/>
        <w:adjustRightInd/>
        <w:snapToGrid/>
        <w:spacing w:before="340" w:after="330" w:line="400" w:lineRule="exact"/>
        <w:ind w:left="0" w:leftChars="0" w:firstLine="0" w:firstLineChars="0"/>
        <w:jc w:val="left"/>
        <w:outlineLvl w:val="0"/>
        <w:rPr>
          <w:rFonts w:hint="eastAsia" w:ascii="宋体" w:hAnsi="宋体" w:eastAsia="宋体" w:cs="宋体"/>
          <w:b/>
          <w:bCs/>
          <w:color w:val="auto"/>
          <w:kern w:val="44"/>
          <w:sz w:val="22"/>
          <w:szCs w:val="22"/>
          <w:lang w:val="en-US" w:eastAsia="zh-CN" w:bidi="ar-SA"/>
        </w:rPr>
      </w:pPr>
      <w:bookmarkStart w:id="195" w:name="_Toc25645"/>
      <w:r>
        <w:rPr>
          <w:rFonts w:hint="eastAsia" w:ascii="宋体" w:hAnsi="宋体" w:eastAsia="宋体" w:cs="宋体"/>
          <w:b/>
          <w:bCs/>
          <w:color w:val="auto"/>
          <w:kern w:val="44"/>
          <w:sz w:val="22"/>
          <w:szCs w:val="22"/>
          <w:lang w:val="en-US" w:eastAsia="zh-CN" w:bidi="ar-SA"/>
        </w:rPr>
        <w:t>需求分析</w:t>
      </w:r>
      <w:bookmarkEnd w:id="195"/>
    </w:p>
    <w:p w14:paraId="672EFA55">
      <w:pPr>
        <w:pageBreakBefore w:val="0"/>
        <w:tabs>
          <w:tab w:val="left" w:pos="9240"/>
        </w:tabs>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color w:val="auto"/>
          <w:kern w:val="2"/>
          <w:sz w:val="22"/>
          <w:szCs w:val="22"/>
        </w:rPr>
      </w:pPr>
      <w:r>
        <w:rPr>
          <w:rFonts w:hint="eastAsia" w:ascii="宋体" w:hAnsi="宋体" w:eastAsia="宋体" w:cs="宋体"/>
          <w:color w:val="auto"/>
          <w:kern w:val="2"/>
          <w:sz w:val="22"/>
          <w:szCs w:val="22"/>
        </w:rPr>
        <w:t>为加强路交通安全管理工作，最大限度消除交通安全隐患，压降道路交通事故，交通以营造“智慧、平安、畅通、文明”的道路交通环境为总目标，运用科技手段，全面推进农村道路</w:t>
      </w:r>
      <w:r>
        <w:rPr>
          <w:rFonts w:hint="eastAsia" w:ascii="宋体" w:hAnsi="宋体" w:eastAsia="宋体" w:cs="宋体"/>
          <w:color w:val="auto"/>
          <w:kern w:val="2"/>
          <w:sz w:val="22"/>
          <w:szCs w:val="22"/>
          <w:lang w:val="en-US" w:eastAsia="zh-CN"/>
        </w:rPr>
        <w:t>路口</w:t>
      </w:r>
      <w:r>
        <w:rPr>
          <w:rFonts w:hint="eastAsia" w:ascii="宋体" w:hAnsi="宋体" w:eastAsia="宋体" w:cs="宋体"/>
          <w:color w:val="auto"/>
          <w:kern w:val="2"/>
          <w:sz w:val="22"/>
          <w:szCs w:val="22"/>
        </w:rPr>
        <w:t>隐患治理提升项建设，创新国省道现代管理机制，转变传统交管模式，建立一个科学高效、覆盖广泛、防控严密、服务便捷的智能交通安全系统，满足交通管理部门对国省道交通进行管理、控制、组织、规划和公众信息服务的需求。</w:t>
      </w:r>
    </w:p>
    <w:p w14:paraId="3E10EB77">
      <w:pPr>
        <w:keepNext/>
        <w:keepLines/>
        <w:pageBreakBefore w:val="0"/>
        <w:widowControl w:val="0"/>
        <w:tabs>
          <w:tab w:val="left" w:pos="3165"/>
          <w:tab w:val="center" w:pos="4594"/>
          <w:tab w:val="left" w:pos="9240"/>
        </w:tabs>
        <w:kinsoku/>
        <w:wordWrap/>
        <w:overflowPunct/>
        <w:topLinePunct w:val="0"/>
        <w:autoSpaceDE/>
        <w:autoSpaceDN/>
        <w:bidi w:val="0"/>
        <w:adjustRightInd/>
        <w:snapToGrid/>
        <w:spacing w:before="340" w:after="330" w:line="400" w:lineRule="exact"/>
        <w:ind w:firstLine="442" w:firstLineChars="200"/>
        <w:jc w:val="left"/>
        <w:outlineLvl w:val="0"/>
        <w:rPr>
          <w:rFonts w:hint="eastAsia" w:ascii="宋体" w:hAnsi="宋体" w:eastAsia="宋体" w:cs="宋体"/>
          <w:b/>
          <w:bCs/>
          <w:color w:val="auto"/>
          <w:kern w:val="44"/>
          <w:sz w:val="22"/>
          <w:szCs w:val="22"/>
          <w:lang w:val="en-US" w:eastAsia="zh-CN" w:bidi="ar-SA"/>
        </w:rPr>
      </w:pPr>
      <w:bookmarkStart w:id="196" w:name="_Toc5595"/>
      <w:r>
        <w:rPr>
          <w:rFonts w:hint="eastAsia" w:ascii="宋体" w:hAnsi="宋体" w:eastAsia="宋体" w:cs="宋体"/>
          <w:b/>
          <w:bCs/>
          <w:color w:val="auto"/>
          <w:kern w:val="44"/>
          <w:sz w:val="22"/>
          <w:szCs w:val="22"/>
          <w:lang w:val="en-US" w:eastAsia="zh-CN" w:bidi="ar-SA"/>
        </w:rPr>
        <w:t>三、本期项目设计方案</w:t>
      </w:r>
      <w:bookmarkEnd w:id="196"/>
    </w:p>
    <w:p w14:paraId="67541E51">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42" w:firstLineChars="200"/>
        <w:jc w:val="left"/>
        <w:outlineLvl w:val="1"/>
        <w:rPr>
          <w:rFonts w:hint="eastAsia" w:ascii="宋体" w:hAnsi="宋体" w:eastAsia="宋体" w:cs="宋体"/>
          <w:b/>
          <w:bCs/>
          <w:color w:val="auto"/>
          <w:kern w:val="2"/>
          <w:sz w:val="22"/>
          <w:szCs w:val="22"/>
          <w:lang w:val="en-US" w:eastAsia="zh-CN" w:bidi="ar-SA"/>
        </w:rPr>
      </w:pPr>
      <w:bookmarkStart w:id="197" w:name="_Toc26386"/>
      <w:r>
        <w:rPr>
          <w:rFonts w:hint="eastAsia" w:ascii="宋体" w:hAnsi="宋体" w:eastAsia="宋体" w:cs="宋体"/>
          <w:b/>
          <w:bCs/>
          <w:color w:val="auto"/>
          <w:kern w:val="2"/>
          <w:sz w:val="22"/>
          <w:szCs w:val="22"/>
          <w:lang w:val="en-US" w:eastAsia="zh-CN" w:bidi="ar-SA"/>
        </w:rPr>
        <w:t>3.1</w:t>
      </w:r>
      <w:bookmarkStart w:id="198" w:name="_Toc110456625"/>
      <w:bookmarkStart w:id="199" w:name="_Toc91064096"/>
      <w:r>
        <w:rPr>
          <w:rFonts w:hint="eastAsia" w:ascii="宋体" w:hAnsi="宋体" w:eastAsia="宋体" w:cs="宋体"/>
          <w:b/>
          <w:bCs/>
          <w:color w:val="auto"/>
          <w:kern w:val="2"/>
          <w:sz w:val="22"/>
          <w:szCs w:val="22"/>
          <w:lang w:val="en-US" w:eastAsia="zh-CN" w:bidi="ar-SA"/>
        </w:rPr>
        <w:t>设计思路</w:t>
      </w:r>
      <w:bookmarkEnd w:id="197"/>
      <w:bookmarkEnd w:id="198"/>
      <w:bookmarkEnd w:id="199"/>
    </w:p>
    <w:p w14:paraId="3315805E">
      <w:pPr>
        <w:pageBreakBefore w:val="0"/>
        <w:tabs>
          <w:tab w:val="left" w:pos="9240"/>
        </w:tabs>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在当前社会发展的背景下，农村道路交通安全已成为一个不容忽视的重要议题。根据《国务院安委会办公室关于切实加强农村道路交通安全工作的通知》以及《2024年盐城市政府为民办实事项目实施方案》的精神，结合《2024年全市农村道路交通安全提升工程建设实施方案》，我们明确了道路智能化科技设备建设作为交通管理基础性项目的重要性。</w:t>
      </w:r>
    </w:p>
    <w:p w14:paraId="73A4B53B">
      <w:pPr>
        <w:pageBreakBefore w:val="0"/>
        <w:tabs>
          <w:tab w:val="left" w:pos="9240"/>
        </w:tabs>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实现交通管理的基础功能是核心目标。这包括通过多渠道、大范围的交通信息采集、处理和发布，有效组织调度交通流，以及监测管辖区内的交通行为等，从而提高道路服务水平。</w:t>
      </w:r>
    </w:p>
    <w:p w14:paraId="2A87F28D">
      <w:pPr>
        <w:pageBreakBefore w:val="0"/>
        <w:tabs>
          <w:tab w:val="left" w:pos="9240"/>
        </w:tabs>
        <w:kinsoku/>
        <w:wordWrap/>
        <w:overflowPunct/>
        <w:topLinePunct w:val="0"/>
        <w:autoSpaceDE/>
        <w:autoSpaceDN/>
        <w:bidi w:val="0"/>
        <w:adjustRightInd/>
        <w:snapToGrid/>
        <w:spacing w:line="400" w:lineRule="exact"/>
        <w:ind w:firstLine="440" w:firstLineChars="200"/>
        <w:jc w:val="left"/>
        <w:rPr>
          <w:rFonts w:hint="eastAsia" w:ascii="宋体" w:hAnsi="宋体" w:eastAsia="宋体" w:cs="宋体"/>
          <w:color w:val="auto"/>
          <w:kern w:val="2"/>
          <w:sz w:val="22"/>
          <w:szCs w:val="22"/>
          <w:lang w:eastAsia="zh-CN"/>
        </w:rPr>
      </w:pPr>
      <w:r>
        <w:rPr>
          <w:rFonts w:hint="eastAsia" w:ascii="宋体" w:hAnsi="宋体" w:eastAsia="宋体" w:cs="宋体"/>
          <w:color w:val="auto"/>
          <w:kern w:val="2"/>
          <w:sz w:val="22"/>
          <w:szCs w:val="22"/>
          <w:lang w:eastAsia="zh-CN"/>
        </w:rPr>
        <w:t>为提高城市交通安全水平，保障道路畅通是我们不懈追求的目标。通过降低事故发生率，确保交通安全和道路畅通，我们可以为市民创造一个更加安全、顺畅的交通环境。这需要我们在交通管理中不断探索和实践，以科技创新为支撑，不断提升交通管理的科学化、精细化水平。</w:t>
      </w:r>
    </w:p>
    <w:p w14:paraId="215A02CE">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42" w:firstLineChars="200"/>
        <w:jc w:val="left"/>
        <w:outlineLvl w:val="1"/>
        <w:rPr>
          <w:rFonts w:hint="eastAsia" w:ascii="宋体" w:hAnsi="宋体" w:eastAsia="宋体" w:cs="宋体"/>
          <w:b/>
          <w:bCs/>
          <w:color w:val="auto"/>
          <w:kern w:val="2"/>
          <w:sz w:val="22"/>
          <w:szCs w:val="22"/>
          <w:lang w:val="en-US" w:eastAsia="zh-CN" w:bidi="ar-SA"/>
        </w:rPr>
      </w:pPr>
      <w:bookmarkStart w:id="200" w:name="_Toc26588"/>
      <w:r>
        <w:rPr>
          <w:rFonts w:hint="eastAsia" w:ascii="宋体" w:hAnsi="宋体" w:eastAsia="宋体" w:cs="宋体"/>
          <w:b/>
          <w:bCs/>
          <w:color w:val="auto"/>
          <w:kern w:val="2"/>
          <w:sz w:val="22"/>
          <w:szCs w:val="22"/>
          <w:lang w:val="en-US" w:eastAsia="zh-CN" w:bidi="ar-SA"/>
        </w:rPr>
        <w:t>3.2</w:t>
      </w:r>
      <w:bookmarkStart w:id="201" w:name="_Toc110456626"/>
      <w:bookmarkStart w:id="202" w:name="_Toc91064097"/>
      <w:r>
        <w:rPr>
          <w:rFonts w:hint="eastAsia" w:ascii="宋体" w:hAnsi="宋体" w:eastAsia="宋体" w:cs="宋体"/>
          <w:b/>
          <w:bCs/>
          <w:color w:val="auto"/>
          <w:kern w:val="2"/>
          <w:sz w:val="22"/>
          <w:szCs w:val="22"/>
          <w:lang w:val="en-US" w:eastAsia="zh-CN" w:bidi="ar-SA"/>
        </w:rPr>
        <w:t>设计原则</w:t>
      </w:r>
      <w:bookmarkEnd w:id="200"/>
      <w:bookmarkEnd w:id="201"/>
      <w:bookmarkEnd w:id="202"/>
    </w:p>
    <w:p w14:paraId="0873BA11">
      <w:pPr>
        <w:pageBreakBefore w:val="0"/>
        <w:tabs>
          <w:tab w:val="left" w:pos="9240"/>
        </w:tabs>
        <w:kinsoku/>
        <w:wordWrap/>
        <w:overflowPunct/>
        <w:topLinePunct w:val="0"/>
        <w:autoSpaceDE/>
        <w:autoSpaceDN/>
        <w:bidi w:val="0"/>
        <w:adjustRightInd/>
        <w:snapToGrid/>
        <w:spacing w:line="400" w:lineRule="exact"/>
        <w:ind w:firstLine="480"/>
        <w:jc w:val="left"/>
        <w:rPr>
          <w:rFonts w:hint="eastAsia" w:ascii="宋体" w:hAnsi="宋体" w:eastAsia="宋体" w:cs="宋体"/>
          <w:color w:val="auto"/>
          <w:sz w:val="22"/>
          <w:szCs w:val="22"/>
          <w:lang w:eastAsia="zh-CN"/>
        </w:rPr>
        <w:sectPr>
          <w:headerReference r:id="rId4" w:type="default"/>
          <w:footerReference r:id="rId5" w:type="default"/>
          <w:pgSz w:w="11906" w:h="16838"/>
          <w:pgMar w:top="1440" w:right="1797" w:bottom="1440" w:left="1797" w:header="851" w:footer="851" w:gutter="0"/>
          <w:pgNumType w:fmt="decimal"/>
          <w:cols w:space="425" w:num="1"/>
          <w:docGrid w:type="lines" w:linePitch="326" w:charSpace="0"/>
        </w:sectPr>
      </w:pPr>
      <w:bookmarkStart w:id="203" w:name="_Toc110456633"/>
      <w:r>
        <w:rPr>
          <w:rFonts w:hint="eastAsia" w:ascii="宋体" w:hAnsi="宋体" w:eastAsia="宋体" w:cs="宋体"/>
          <w:color w:val="auto"/>
          <w:kern w:val="2"/>
          <w:sz w:val="22"/>
          <w:szCs w:val="22"/>
          <w:lang w:eastAsia="zh-CN"/>
        </w:rPr>
        <w:t>本项目严格控制造价，节约投资，将功能需要与立面处理相结合，做到功能在实用经济的基础上适当体现现代感，整体设计具备一定可扩展性。设计力求体现“功能合理、技术先进、成本核准、品质高尚”的设计原则及思想。设计既要满足甲方的要求，又要节省投资、加快建设速度</w:t>
      </w:r>
    </w:p>
    <w:bookmarkEnd w:id="203"/>
    <w:p w14:paraId="67EA1DD6">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jc w:val="left"/>
        <w:outlineLvl w:val="1"/>
        <w:rPr>
          <w:rFonts w:hint="eastAsia" w:ascii="宋体" w:hAnsi="宋体" w:eastAsia="宋体" w:cs="宋体"/>
          <w:b/>
          <w:bCs/>
          <w:color w:val="auto"/>
          <w:kern w:val="2"/>
          <w:sz w:val="24"/>
          <w:szCs w:val="24"/>
          <w:lang w:val="en-US" w:eastAsia="zh-CN" w:bidi="ar-SA"/>
        </w:rPr>
      </w:pPr>
      <w:bookmarkStart w:id="204" w:name="_Toc21150"/>
      <w:bookmarkStart w:id="205" w:name="_Toc110456636"/>
      <w:r>
        <w:rPr>
          <w:rFonts w:hint="eastAsia" w:ascii="宋体" w:hAnsi="宋体" w:eastAsia="宋体" w:cs="宋体"/>
          <w:b/>
          <w:bCs/>
          <w:color w:val="auto"/>
          <w:kern w:val="2"/>
          <w:sz w:val="24"/>
          <w:szCs w:val="24"/>
          <w:lang w:val="en-US" w:eastAsia="zh-CN" w:bidi="ar-SA"/>
        </w:rPr>
        <w:t>3.3现场点位部署</w:t>
      </w:r>
      <w:bookmarkEnd w:id="204"/>
      <w:bookmarkEnd w:id="205"/>
    </w:p>
    <w:p w14:paraId="095E159C">
      <w:pPr>
        <w:pageBreakBefore w:val="0"/>
        <w:tabs>
          <w:tab w:val="left" w:pos="9240"/>
        </w:tabs>
        <w:kinsoku/>
        <w:wordWrap/>
        <w:overflowPunct/>
        <w:topLinePunct w:val="0"/>
        <w:autoSpaceDE/>
        <w:autoSpaceDN/>
        <w:bidi w:val="0"/>
        <w:adjustRightInd/>
        <w:snapToGrid/>
        <w:spacing w:line="400" w:lineRule="exact"/>
        <w:ind w:firstLine="0" w:firstLineChars="0"/>
        <w:jc w:val="left"/>
        <w:rPr>
          <w:rFonts w:hint="eastAsia" w:ascii="宋体" w:hAnsi="宋体" w:eastAsia="宋体" w:cs="宋体"/>
          <w:color w:val="auto"/>
          <w:kern w:val="2"/>
          <w:sz w:val="24"/>
          <w:szCs w:val="24"/>
        </w:rPr>
      </w:pP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0"/>
        <w:gridCol w:w="2811"/>
        <w:gridCol w:w="1403"/>
        <w:gridCol w:w="1403"/>
        <w:gridCol w:w="796"/>
        <w:gridCol w:w="641"/>
        <w:gridCol w:w="587"/>
        <w:gridCol w:w="500"/>
        <w:gridCol w:w="554"/>
        <w:gridCol w:w="653"/>
        <w:gridCol w:w="847"/>
        <w:gridCol w:w="969"/>
        <w:gridCol w:w="2560"/>
      </w:tblGrid>
      <w:tr w14:paraId="39C40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9" w:hRule="atLeast"/>
        </w:trPr>
        <w:tc>
          <w:tcPr>
            <w:tcW w:w="5000" w:type="pct"/>
            <w:gridSpan w:val="13"/>
            <w:tcBorders>
              <w:top w:val="single" w:color="auto" w:sz="4" w:space="0"/>
              <w:left w:val="single" w:color="auto" w:sz="4" w:space="0"/>
              <w:bottom w:val="single" w:color="auto" w:sz="4" w:space="0"/>
              <w:right w:val="nil"/>
            </w:tcBorders>
            <w:shd w:val="clear" w:color="auto" w:fill="auto"/>
            <w:noWrap/>
            <w:vAlign w:val="center"/>
          </w:tcPr>
          <w:p w14:paraId="26CA51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lang w:val="en-US" w:eastAsia="zh-CN" w:bidi="ar"/>
              </w:rPr>
              <w:t>智能化设备建设</w:t>
            </w:r>
          </w:p>
        </w:tc>
      </w:tr>
      <w:tr w14:paraId="49EBB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158" w:type="pct"/>
            <w:tcBorders>
              <w:top w:val="nil"/>
              <w:left w:val="single" w:color="auto" w:sz="4" w:space="0"/>
              <w:bottom w:val="single" w:color="auto" w:sz="4" w:space="0"/>
              <w:right w:val="single" w:color="auto" w:sz="4" w:space="0"/>
            </w:tcBorders>
            <w:shd w:val="clear" w:color="auto" w:fill="auto"/>
            <w:vAlign w:val="center"/>
          </w:tcPr>
          <w:p w14:paraId="3B7EB0C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eastAsia"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序号</w:t>
            </w:r>
          </w:p>
        </w:tc>
        <w:tc>
          <w:tcPr>
            <w:tcW w:w="991" w:type="pct"/>
            <w:tcBorders>
              <w:top w:val="nil"/>
              <w:left w:val="nil"/>
              <w:bottom w:val="single" w:color="auto" w:sz="4" w:space="0"/>
              <w:right w:val="single" w:color="auto" w:sz="4" w:space="0"/>
            </w:tcBorders>
            <w:shd w:val="clear" w:color="auto" w:fill="auto"/>
            <w:vAlign w:val="center"/>
          </w:tcPr>
          <w:p w14:paraId="4A08955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路口名称</w:t>
            </w:r>
          </w:p>
        </w:tc>
        <w:tc>
          <w:tcPr>
            <w:tcW w:w="494" w:type="pct"/>
            <w:tcBorders>
              <w:top w:val="nil"/>
              <w:left w:val="nil"/>
              <w:bottom w:val="single" w:color="auto" w:sz="4" w:space="0"/>
              <w:right w:val="single" w:color="auto" w:sz="4" w:space="0"/>
            </w:tcBorders>
            <w:shd w:val="clear" w:color="auto" w:fill="auto"/>
            <w:vAlign w:val="center"/>
          </w:tcPr>
          <w:p w14:paraId="643070F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经度（GCJ-202）</w:t>
            </w:r>
          </w:p>
        </w:tc>
        <w:tc>
          <w:tcPr>
            <w:tcW w:w="494" w:type="pct"/>
            <w:tcBorders>
              <w:top w:val="nil"/>
              <w:left w:val="nil"/>
              <w:bottom w:val="single" w:color="auto" w:sz="4" w:space="0"/>
              <w:right w:val="single" w:color="auto" w:sz="4" w:space="0"/>
            </w:tcBorders>
            <w:shd w:val="clear" w:color="auto" w:fill="auto"/>
            <w:vAlign w:val="center"/>
          </w:tcPr>
          <w:p w14:paraId="36AC7CB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维度（GCJ-202）</w:t>
            </w:r>
          </w:p>
        </w:tc>
        <w:tc>
          <w:tcPr>
            <w:tcW w:w="280" w:type="pct"/>
            <w:tcBorders>
              <w:top w:val="nil"/>
              <w:left w:val="nil"/>
              <w:bottom w:val="single" w:color="auto" w:sz="4" w:space="0"/>
              <w:right w:val="single" w:color="auto" w:sz="4" w:space="0"/>
            </w:tcBorders>
            <w:shd w:val="clear" w:color="auto" w:fill="auto"/>
            <w:vAlign w:val="center"/>
          </w:tcPr>
          <w:p w14:paraId="0B4E395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900万环保卡口相机</w:t>
            </w:r>
          </w:p>
        </w:tc>
        <w:tc>
          <w:tcPr>
            <w:tcW w:w="226" w:type="pct"/>
            <w:tcBorders>
              <w:top w:val="nil"/>
              <w:left w:val="nil"/>
              <w:bottom w:val="single" w:color="auto" w:sz="4" w:space="0"/>
              <w:right w:val="single" w:color="auto" w:sz="4" w:space="0"/>
            </w:tcBorders>
            <w:shd w:val="clear" w:color="auto" w:fill="auto"/>
            <w:vAlign w:val="center"/>
          </w:tcPr>
          <w:p w14:paraId="5131F9D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400W球机</w:t>
            </w:r>
          </w:p>
        </w:tc>
        <w:tc>
          <w:tcPr>
            <w:tcW w:w="207" w:type="pct"/>
            <w:tcBorders>
              <w:top w:val="nil"/>
              <w:left w:val="nil"/>
              <w:bottom w:val="single" w:color="auto" w:sz="4" w:space="0"/>
              <w:right w:val="single" w:color="auto" w:sz="4" w:space="0"/>
            </w:tcBorders>
            <w:shd w:val="clear" w:color="auto" w:fill="auto"/>
            <w:vAlign w:val="center"/>
          </w:tcPr>
          <w:p w14:paraId="6DA2BB5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支路哨兵</w:t>
            </w:r>
          </w:p>
        </w:tc>
        <w:tc>
          <w:tcPr>
            <w:tcW w:w="176" w:type="pct"/>
            <w:tcBorders>
              <w:top w:val="nil"/>
              <w:left w:val="nil"/>
              <w:bottom w:val="single" w:color="auto" w:sz="4" w:space="0"/>
              <w:right w:val="single" w:color="auto" w:sz="4" w:space="0"/>
            </w:tcBorders>
            <w:shd w:val="clear" w:color="auto" w:fill="auto"/>
            <w:vAlign w:val="center"/>
          </w:tcPr>
          <w:p w14:paraId="23F3D2F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13米高杆灯</w:t>
            </w:r>
          </w:p>
        </w:tc>
        <w:tc>
          <w:tcPr>
            <w:tcW w:w="195" w:type="pct"/>
            <w:tcBorders>
              <w:top w:val="nil"/>
              <w:left w:val="nil"/>
              <w:bottom w:val="single" w:color="auto" w:sz="4" w:space="0"/>
              <w:right w:val="single" w:color="auto" w:sz="4" w:space="0"/>
            </w:tcBorders>
            <w:shd w:val="clear" w:color="auto" w:fill="auto"/>
            <w:vAlign w:val="center"/>
          </w:tcPr>
          <w:p w14:paraId="0F8EC05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辅助信号灯</w:t>
            </w:r>
          </w:p>
        </w:tc>
        <w:tc>
          <w:tcPr>
            <w:tcW w:w="230" w:type="pct"/>
            <w:tcBorders>
              <w:top w:val="nil"/>
              <w:left w:val="nil"/>
              <w:bottom w:val="single" w:color="auto" w:sz="4" w:space="0"/>
              <w:right w:val="single" w:color="auto" w:sz="4" w:space="0"/>
            </w:tcBorders>
            <w:shd w:val="clear" w:color="auto" w:fill="auto"/>
            <w:vAlign w:val="center"/>
          </w:tcPr>
          <w:p w14:paraId="6A529E7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人行灯</w:t>
            </w:r>
          </w:p>
        </w:tc>
        <w:tc>
          <w:tcPr>
            <w:tcW w:w="298" w:type="pct"/>
            <w:tcBorders>
              <w:top w:val="nil"/>
              <w:left w:val="nil"/>
              <w:bottom w:val="single" w:color="auto" w:sz="4" w:space="0"/>
              <w:right w:val="single" w:color="auto" w:sz="4" w:space="0"/>
            </w:tcBorders>
            <w:shd w:val="clear" w:color="auto" w:fill="auto"/>
            <w:vAlign w:val="center"/>
          </w:tcPr>
          <w:p w14:paraId="64C9C3E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前端处理终端</w:t>
            </w:r>
          </w:p>
        </w:tc>
        <w:tc>
          <w:tcPr>
            <w:tcW w:w="341" w:type="pct"/>
            <w:tcBorders>
              <w:top w:val="nil"/>
              <w:left w:val="nil"/>
              <w:bottom w:val="single" w:color="auto" w:sz="4" w:space="0"/>
              <w:right w:val="single" w:color="auto" w:sz="4" w:space="0"/>
            </w:tcBorders>
            <w:shd w:val="clear" w:color="auto" w:fill="auto"/>
            <w:vAlign w:val="center"/>
          </w:tcPr>
          <w:p w14:paraId="6505241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违停球</w:t>
            </w:r>
          </w:p>
        </w:tc>
        <w:tc>
          <w:tcPr>
            <w:tcW w:w="903" w:type="pct"/>
            <w:tcBorders>
              <w:top w:val="nil"/>
              <w:left w:val="nil"/>
              <w:bottom w:val="single" w:color="auto" w:sz="4" w:space="0"/>
              <w:right w:val="single" w:color="auto" w:sz="4" w:space="0"/>
            </w:tcBorders>
            <w:shd w:val="clear" w:color="auto" w:fill="auto"/>
            <w:vAlign w:val="center"/>
          </w:tcPr>
          <w:p w14:paraId="411F7C2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leftChars="0" w:right="0" w:firstLine="0" w:firstLineChars="0"/>
              <w:jc w:val="left"/>
              <w:textAlignment w:val="center"/>
              <w:rPr>
                <w:rFonts w:hint="default" w:ascii="宋体" w:hAnsi="宋体" w:eastAsia="宋体" w:cs="宋体"/>
                <w:b/>
                <w:bCs/>
                <w:i w:val="0"/>
                <w:iCs w:val="0"/>
                <w:color w:val="auto"/>
                <w:kern w:val="0"/>
                <w:sz w:val="24"/>
                <w:szCs w:val="24"/>
                <w:u w:val="none"/>
                <w:lang w:val="en-US" w:eastAsia="zh-CN" w:bidi="ar"/>
              </w:rPr>
            </w:pPr>
            <w:r>
              <w:rPr>
                <w:rFonts w:hint="default" w:ascii="宋体" w:hAnsi="宋体" w:eastAsia="宋体" w:cs="宋体"/>
                <w:b/>
                <w:bCs/>
                <w:i w:val="0"/>
                <w:iCs w:val="0"/>
                <w:color w:val="auto"/>
                <w:kern w:val="0"/>
                <w:sz w:val="24"/>
                <w:szCs w:val="24"/>
                <w:u w:val="none"/>
                <w:lang w:val="en-US" w:eastAsia="zh-CN" w:bidi="ar"/>
              </w:rPr>
              <w:t>备注</w:t>
            </w:r>
          </w:p>
        </w:tc>
      </w:tr>
      <w:tr w14:paraId="51642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7CA78B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91" w:type="pct"/>
            <w:tcBorders>
              <w:top w:val="nil"/>
              <w:left w:val="nil"/>
              <w:bottom w:val="single" w:color="auto" w:sz="4" w:space="0"/>
              <w:right w:val="single" w:color="auto" w:sz="4" w:space="0"/>
            </w:tcBorders>
            <w:shd w:val="clear" w:color="auto" w:fill="auto"/>
            <w:noWrap/>
            <w:vAlign w:val="center"/>
          </w:tcPr>
          <w:p w14:paraId="4D05C1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区间测速起点（K149+700）</w:t>
            </w:r>
          </w:p>
        </w:tc>
        <w:tc>
          <w:tcPr>
            <w:tcW w:w="494" w:type="pct"/>
            <w:tcBorders>
              <w:top w:val="nil"/>
              <w:left w:val="nil"/>
              <w:bottom w:val="single" w:color="auto" w:sz="4" w:space="0"/>
              <w:right w:val="single" w:color="auto" w:sz="4" w:space="0"/>
            </w:tcBorders>
            <w:shd w:val="clear" w:color="auto" w:fill="auto"/>
            <w:noWrap/>
            <w:vAlign w:val="center"/>
          </w:tcPr>
          <w:p w14:paraId="6DBDDB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120.4246375</w:t>
            </w:r>
          </w:p>
        </w:tc>
        <w:tc>
          <w:tcPr>
            <w:tcW w:w="494" w:type="pct"/>
            <w:tcBorders>
              <w:top w:val="nil"/>
              <w:left w:val="nil"/>
              <w:bottom w:val="single" w:color="auto" w:sz="4" w:space="0"/>
              <w:right w:val="single" w:color="auto" w:sz="4" w:space="0"/>
            </w:tcBorders>
            <w:shd w:val="clear" w:color="auto" w:fill="auto"/>
            <w:noWrap/>
            <w:vAlign w:val="center"/>
          </w:tcPr>
          <w:p w14:paraId="0D8A98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33.1354961</w:t>
            </w:r>
          </w:p>
        </w:tc>
        <w:tc>
          <w:tcPr>
            <w:tcW w:w="280" w:type="pct"/>
            <w:tcBorders>
              <w:top w:val="nil"/>
              <w:left w:val="nil"/>
              <w:bottom w:val="single" w:color="auto" w:sz="4" w:space="0"/>
              <w:right w:val="single" w:color="auto" w:sz="4" w:space="0"/>
            </w:tcBorders>
            <w:shd w:val="clear" w:color="auto" w:fill="auto"/>
            <w:noWrap/>
            <w:vAlign w:val="center"/>
          </w:tcPr>
          <w:p w14:paraId="47F758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26" w:type="pct"/>
            <w:tcBorders>
              <w:top w:val="nil"/>
              <w:left w:val="nil"/>
              <w:bottom w:val="single" w:color="auto" w:sz="4" w:space="0"/>
              <w:right w:val="single" w:color="auto" w:sz="4" w:space="0"/>
            </w:tcBorders>
            <w:shd w:val="clear" w:color="auto" w:fill="auto"/>
            <w:noWrap/>
            <w:vAlign w:val="center"/>
          </w:tcPr>
          <w:p w14:paraId="7A828E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7" w:type="pct"/>
            <w:tcBorders>
              <w:top w:val="nil"/>
              <w:left w:val="nil"/>
              <w:bottom w:val="single" w:color="auto" w:sz="4" w:space="0"/>
              <w:right w:val="single" w:color="auto" w:sz="4" w:space="0"/>
            </w:tcBorders>
            <w:shd w:val="clear" w:color="auto" w:fill="auto"/>
            <w:noWrap/>
            <w:vAlign w:val="center"/>
          </w:tcPr>
          <w:p w14:paraId="73374C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39ED87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95" w:type="pct"/>
            <w:tcBorders>
              <w:top w:val="nil"/>
              <w:left w:val="nil"/>
              <w:bottom w:val="single" w:color="auto" w:sz="4" w:space="0"/>
              <w:right w:val="single" w:color="auto" w:sz="4" w:space="0"/>
            </w:tcBorders>
            <w:shd w:val="clear" w:color="auto" w:fill="auto"/>
            <w:noWrap/>
            <w:vAlign w:val="center"/>
          </w:tcPr>
          <w:p w14:paraId="25DC48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57E33C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731C6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1" w:type="pct"/>
            <w:tcBorders>
              <w:top w:val="nil"/>
              <w:left w:val="nil"/>
              <w:bottom w:val="single" w:color="auto" w:sz="4" w:space="0"/>
              <w:right w:val="single" w:color="auto" w:sz="4" w:space="0"/>
            </w:tcBorders>
            <w:shd w:val="clear" w:color="auto" w:fill="auto"/>
            <w:noWrap/>
            <w:vAlign w:val="center"/>
          </w:tcPr>
          <w:p w14:paraId="7BCA81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4C8FF6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5FED8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4EF01A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991" w:type="pct"/>
            <w:tcBorders>
              <w:top w:val="nil"/>
              <w:left w:val="nil"/>
              <w:bottom w:val="single" w:color="auto" w:sz="4" w:space="0"/>
              <w:right w:val="single" w:color="auto" w:sz="4" w:space="0"/>
            </w:tcBorders>
            <w:shd w:val="clear" w:color="auto" w:fill="auto"/>
            <w:noWrap/>
            <w:vAlign w:val="center"/>
          </w:tcPr>
          <w:p w14:paraId="7FE93D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区间测速终点(K153)</w:t>
            </w:r>
          </w:p>
        </w:tc>
        <w:tc>
          <w:tcPr>
            <w:tcW w:w="494" w:type="pct"/>
            <w:tcBorders>
              <w:top w:val="nil"/>
              <w:left w:val="nil"/>
              <w:bottom w:val="single" w:color="auto" w:sz="4" w:space="0"/>
              <w:right w:val="single" w:color="auto" w:sz="4" w:space="0"/>
            </w:tcBorders>
            <w:shd w:val="clear" w:color="auto" w:fill="auto"/>
            <w:noWrap/>
            <w:vAlign w:val="center"/>
          </w:tcPr>
          <w:p w14:paraId="57FB3E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120.4596604</w:t>
            </w:r>
          </w:p>
        </w:tc>
        <w:tc>
          <w:tcPr>
            <w:tcW w:w="494" w:type="pct"/>
            <w:tcBorders>
              <w:top w:val="nil"/>
              <w:left w:val="nil"/>
              <w:bottom w:val="single" w:color="auto" w:sz="4" w:space="0"/>
              <w:right w:val="single" w:color="auto" w:sz="4" w:space="0"/>
            </w:tcBorders>
            <w:shd w:val="clear" w:color="auto" w:fill="auto"/>
            <w:noWrap/>
            <w:vAlign w:val="center"/>
          </w:tcPr>
          <w:p w14:paraId="53D2FF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33.13631648</w:t>
            </w:r>
          </w:p>
        </w:tc>
        <w:tc>
          <w:tcPr>
            <w:tcW w:w="280" w:type="pct"/>
            <w:tcBorders>
              <w:top w:val="nil"/>
              <w:left w:val="nil"/>
              <w:bottom w:val="single" w:color="auto" w:sz="4" w:space="0"/>
              <w:right w:val="single" w:color="auto" w:sz="4" w:space="0"/>
            </w:tcBorders>
            <w:shd w:val="clear" w:color="auto" w:fill="auto"/>
            <w:noWrap/>
            <w:vAlign w:val="center"/>
          </w:tcPr>
          <w:p w14:paraId="101EA5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26" w:type="pct"/>
            <w:tcBorders>
              <w:top w:val="nil"/>
              <w:left w:val="nil"/>
              <w:bottom w:val="single" w:color="auto" w:sz="4" w:space="0"/>
              <w:right w:val="single" w:color="auto" w:sz="4" w:space="0"/>
            </w:tcBorders>
            <w:shd w:val="clear" w:color="auto" w:fill="auto"/>
            <w:noWrap/>
            <w:vAlign w:val="center"/>
          </w:tcPr>
          <w:p w14:paraId="3E9A9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7" w:type="pct"/>
            <w:tcBorders>
              <w:top w:val="nil"/>
              <w:left w:val="nil"/>
              <w:bottom w:val="single" w:color="auto" w:sz="4" w:space="0"/>
              <w:right w:val="single" w:color="auto" w:sz="4" w:space="0"/>
            </w:tcBorders>
            <w:shd w:val="clear" w:color="auto" w:fill="auto"/>
            <w:noWrap/>
            <w:vAlign w:val="center"/>
          </w:tcPr>
          <w:p w14:paraId="159512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0E112A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95" w:type="pct"/>
            <w:tcBorders>
              <w:top w:val="nil"/>
              <w:left w:val="nil"/>
              <w:bottom w:val="single" w:color="auto" w:sz="4" w:space="0"/>
              <w:right w:val="single" w:color="auto" w:sz="4" w:space="0"/>
            </w:tcBorders>
            <w:shd w:val="clear" w:color="auto" w:fill="auto"/>
            <w:noWrap/>
            <w:vAlign w:val="center"/>
          </w:tcPr>
          <w:p w14:paraId="72B15D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47B05B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722E34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41" w:type="pct"/>
            <w:tcBorders>
              <w:top w:val="nil"/>
              <w:left w:val="nil"/>
              <w:bottom w:val="single" w:color="auto" w:sz="4" w:space="0"/>
              <w:right w:val="single" w:color="auto" w:sz="4" w:space="0"/>
            </w:tcBorders>
            <w:shd w:val="clear" w:color="auto" w:fill="auto"/>
            <w:noWrap/>
            <w:vAlign w:val="center"/>
          </w:tcPr>
          <w:p w14:paraId="6E881C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2DDA3C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5F96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2C7B90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991" w:type="pct"/>
            <w:tcBorders>
              <w:top w:val="nil"/>
              <w:left w:val="nil"/>
              <w:bottom w:val="single" w:color="auto" w:sz="4" w:space="0"/>
              <w:right w:val="single" w:color="auto" w:sz="4" w:space="0"/>
            </w:tcBorders>
            <w:shd w:val="clear" w:color="auto" w:fill="auto"/>
            <w:noWrap/>
            <w:vAlign w:val="center"/>
          </w:tcPr>
          <w:p w14:paraId="4DF0EE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路口1</w:t>
            </w:r>
          </w:p>
        </w:tc>
        <w:tc>
          <w:tcPr>
            <w:tcW w:w="494" w:type="pct"/>
            <w:tcBorders>
              <w:top w:val="nil"/>
              <w:left w:val="nil"/>
              <w:bottom w:val="single" w:color="auto" w:sz="4" w:space="0"/>
              <w:right w:val="single" w:color="auto" w:sz="4" w:space="0"/>
            </w:tcBorders>
            <w:shd w:val="clear" w:color="auto" w:fill="auto"/>
            <w:noWrap/>
            <w:vAlign w:val="center"/>
          </w:tcPr>
          <w:p w14:paraId="1F7ACD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120.4354763</w:t>
            </w:r>
          </w:p>
        </w:tc>
        <w:tc>
          <w:tcPr>
            <w:tcW w:w="494" w:type="pct"/>
            <w:tcBorders>
              <w:top w:val="nil"/>
              <w:left w:val="nil"/>
              <w:bottom w:val="single" w:color="auto" w:sz="4" w:space="0"/>
              <w:right w:val="single" w:color="auto" w:sz="4" w:space="0"/>
            </w:tcBorders>
            <w:shd w:val="clear" w:color="auto" w:fill="auto"/>
            <w:noWrap/>
            <w:vAlign w:val="center"/>
          </w:tcPr>
          <w:p w14:paraId="1A4043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33.13562862</w:t>
            </w:r>
          </w:p>
        </w:tc>
        <w:tc>
          <w:tcPr>
            <w:tcW w:w="280" w:type="pct"/>
            <w:tcBorders>
              <w:top w:val="nil"/>
              <w:left w:val="nil"/>
              <w:bottom w:val="single" w:color="auto" w:sz="4" w:space="0"/>
              <w:right w:val="single" w:color="auto" w:sz="4" w:space="0"/>
            </w:tcBorders>
            <w:shd w:val="clear" w:color="auto" w:fill="auto"/>
            <w:noWrap/>
            <w:vAlign w:val="center"/>
          </w:tcPr>
          <w:p w14:paraId="59663A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1CCEF3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7" w:type="pct"/>
            <w:tcBorders>
              <w:top w:val="nil"/>
              <w:left w:val="nil"/>
              <w:bottom w:val="single" w:color="auto" w:sz="4" w:space="0"/>
              <w:right w:val="single" w:color="auto" w:sz="4" w:space="0"/>
            </w:tcBorders>
            <w:shd w:val="clear" w:color="auto" w:fill="auto"/>
            <w:noWrap/>
            <w:vAlign w:val="center"/>
          </w:tcPr>
          <w:p w14:paraId="50BB99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6" w:type="pct"/>
            <w:tcBorders>
              <w:top w:val="nil"/>
              <w:left w:val="nil"/>
              <w:bottom w:val="single" w:color="auto" w:sz="4" w:space="0"/>
              <w:right w:val="single" w:color="auto" w:sz="4" w:space="0"/>
            </w:tcBorders>
            <w:shd w:val="clear" w:color="auto" w:fill="auto"/>
            <w:noWrap/>
            <w:vAlign w:val="center"/>
          </w:tcPr>
          <w:p w14:paraId="6A5764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5" w:type="pct"/>
            <w:tcBorders>
              <w:top w:val="nil"/>
              <w:left w:val="nil"/>
              <w:bottom w:val="single" w:color="auto" w:sz="4" w:space="0"/>
              <w:right w:val="single" w:color="auto" w:sz="4" w:space="0"/>
            </w:tcBorders>
            <w:shd w:val="clear" w:color="auto" w:fill="auto"/>
            <w:noWrap/>
            <w:vAlign w:val="center"/>
          </w:tcPr>
          <w:p w14:paraId="503DAC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19BD62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6EE4F7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51E779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4330A0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移位351双中线到南向安装降速预警装置</w:t>
            </w:r>
          </w:p>
        </w:tc>
      </w:tr>
      <w:tr w14:paraId="6EAEC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35C46D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991" w:type="pct"/>
            <w:tcBorders>
              <w:top w:val="nil"/>
              <w:left w:val="nil"/>
              <w:bottom w:val="single" w:color="auto" w:sz="4" w:space="0"/>
              <w:right w:val="single" w:color="auto" w:sz="4" w:space="0"/>
            </w:tcBorders>
            <w:shd w:val="clear" w:color="auto" w:fill="auto"/>
            <w:noWrap/>
            <w:vAlign w:val="center"/>
          </w:tcPr>
          <w:p w14:paraId="5EF9CF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路口2</w:t>
            </w:r>
          </w:p>
        </w:tc>
        <w:tc>
          <w:tcPr>
            <w:tcW w:w="494" w:type="pct"/>
            <w:tcBorders>
              <w:top w:val="nil"/>
              <w:left w:val="nil"/>
              <w:bottom w:val="single" w:color="auto" w:sz="4" w:space="0"/>
              <w:right w:val="single" w:color="auto" w:sz="4" w:space="0"/>
            </w:tcBorders>
            <w:shd w:val="clear" w:color="auto" w:fill="auto"/>
            <w:noWrap/>
            <w:vAlign w:val="center"/>
          </w:tcPr>
          <w:p w14:paraId="208007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120.441728</w:t>
            </w:r>
          </w:p>
        </w:tc>
        <w:tc>
          <w:tcPr>
            <w:tcW w:w="494" w:type="pct"/>
            <w:tcBorders>
              <w:top w:val="nil"/>
              <w:left w:val="nil"/>
              <w:bottom w:val="single" w:color="auto" w:sz="4" w:space="0"/>
              <w:right w:val="single" w:color="auto" w:sz="4" w:space="0"/>
            </w:tcBorders>
            <w:shd w:val="clear" w:color="auto" w:fill="auto"/>
            <w:noWrap/>
            <w:vAlign w:val="center"/>
          </w:tcPr>
          <w:p w14:paraId="6A9E05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33.13573889</w:t>
            </w:r>
          </w:p>
        </w:tc>
        <w:tc>
          <w:tcPr>
            <w:tcW w:w="280" w:type="pct"/>
            <w:tcBorders>
              <w:top w:val="nil"/>
              <w:left w:val="nil"/>
              <w:bottom w:val="single" w:color="auto" w:sz="4" w:space="0"/>
              <w:right w:val="single" w:color="auto" w:sz="4" w:space="0"/>
            </w:tcBorders>
            <w:shd w:val="clear" w:color="auto" w:fill="auto"/>
            <w:noWrap/>
            <w:vAlign w:val="center"/>
          </w:tcPr>
          <w:p w14:paraId="2003CA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34FF9A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7" w:type="pct"/>
            <w:tcBorders>
              <w:top w:val="nil"/>
              <w:left w:val="nil"/>
              <w:bottom w:val="single" w:color="auto" w:sz="4" w:space="0"/>
              <w:right w:val="single" w:color="auto" w:sz="4" w:space="0"/>
            </w:tcBorders>
            <w:shd w:val="clear" w:color="auto" w:fill="auto"/>
            <w:noWrap/>
            <w:vAlign w:val="center"/>
          </w:tcPr>
          <w:p w14:paraId="515699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6" w:type="pct"/>
            <w:tcBorders>
              <w:top w:val="nil"/>
              <w:left w:val="nil"/>
              <w:bottom w:val="single" w:color="auto" w:sz="4" w:space="0"/>
              <w:right w:val="single" w:color="auto" w:sz="4" w:space="0"/>
            </w:tcBorders>
            <w:shd w:val="clear" w:color="auto" w:fill="auto"/>
            <w:noWrap/>
            <w:vAlign w:val="center"/>
          </w:tcPr>
          <w:p w14:paraId="2D1343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5" w:type="pct"/>
            <w:tcBorders>
              <w:top w:val="nil"/>
              <w:left w:val="nil"/>
              <w:bottom w:val="single" w:color="auto" w:sz="4" w:space="0"/>
              <w:right w:val="single" w:color="auto" w:sz="4" w:space="0"/>
            </w:tcBorders>
            <w:shd w:val="clear" w:color="auto" w:fill="auto"/>
            <w:noWrap/>
            <w:vAlign w:val="center"/>
          </w:tcPr>
          <w:p w14:paraId="746A49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5F15C0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7BEC3C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0C1843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281F33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78036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6041D4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991" w:type="pct"/>
            <w:tcBorders>
              <w:top w:val="nil"/>
              <w:left w:val="nil"/>
              <w:bottom w:val="single" w:color="auto" w:sz="4" w:space="0"/>
              <w:right w:val="single" w:color="auto" w:sz="4" w:space="0"/>
            </w:tcBorders>
            <w:shd w:val="clear" w:color="auto" w:fill="auto"/>
            <w:noWrap/>
            <w:vAlign w:val="center"/>
          </w:tcPr>
          <w:p w14:paraId="2F930C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路口3</w:t>
            </w:r>
          </w:p>
        </w:tc>
        <w:tc>
          <w:tcPr>
            <w:tcW w:w="494" w:type="pct"/>
            <w:tcBorders>
              <w:top w:val="nil"/>
              <w:left w:val="nil"/>
              <w:bottom w:val="single" w:color="auto" w:sz="4" w:space="0"/>
              <w:right w:val="single" w:color="auto" w:sz="4" w:space="0"/>
            </w:tcBorders>
            <w:shd w:val="clear" w:color="auto" w:fill="auto"/>
            <w:noWrap/>
            <w:vAlign w:val="center"/>
          </w:tcPr>
          <w:p w14:paraId="129583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120.4534563</w:t>
            </w:r>
          </w:p>
        </w:tc>
        <w:tc>
          <w:tcPr>
            <w:tcW w:w="494" w:type="pct"/>
            <w:tcBorders>
              <w:top w:val="nil"/>
              <w:left w:val="nil"/>
              <w:bottom w:val="single" w:color="auto" w:sz="4" w:space="0"/>
              <w:right w:val="single" w:color="auto" w:sz="4" w:space="0"/>
            </w:tcBorders>
            <w:shd w:val="clear" w:color="auto" w:fill="auto"/>
            <w:noWrap/>
            <w:vAlign w:val="center"/>
          </w:tcPr>
          <w:p w14:paraId="2694EE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33.13611376</w:t>
            </w:r>
          </w:p>
        </w:tc>
        <w:tc>
          <w:tcPr>
            <w:tcW w:w="280" w:type="pct"/>
            <w:tcBorders>
              <w:top w:val="nil"/>
              <w:left w:val="nil"/>
              <w:bottom w:val="single" w:color="auto" w:sz="4" w:space="0"/>
              <w:right w:val="single" w:color="auto" w:sz="4" w:space="0"/>
            </w:tcBorders>
            <w:shd w:val="clear" w:color="auto" w:fill="auto"/>
            <w:noWrap/>
            <w:vAlign w:val="center"/>
          </w:tcPr>
          <w:p w14:paraId="715093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3D0CB1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7" w:type="pct"/>
            <w:tcBorders>
              <w:top w:val="nil"/>
              <w:left w:val="nil"/>
              <w:bottom w:val="single" w:color="auto" w:sz="4" w:space="0"/>
              <w:right w:val="single" w:color="auto" w:sz="4" w:space="0"/>
            </w:tcBorders>
            <w:shd w:val="clear" w:color="auto" w:fill="auto"/>
            <w:noWrap/>
            <w:vAlign w:val="center"/>
          </w:tcPr>
          <w:p w14:paraId="25CED4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76" w:type="pct"/>
            <w:tcBorders>
              <w:top w:val="nil"/>
              <w:left w:val="nil"/>
              <w:bottom w:val="single" w:color="auto" w:sz="4" w:space="0"/>
              <w:right w:val="single" w:color="auto" w:sz="4" w:space="0"/>
            </w:tcBorders>
            <w:shd w:val="clear" w:color="auto" w:fill="auto"/>
            <w:noWrap/>
            <w:vAlign w:val="center"/>
          </w:tcPr>
          <w:p w14:paraId="5B4F71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5" w:type="pct"/>
            <w:tcBorders>
              <w:top w:val="nil"/>
              <w:left w:val="nil"/>
              <w:bottom w:val="single" w:color="auto" w:sz="4" w:space="0"/>
              <w:right w:val="single" w:color="auto" w:sz="4" w:space="0"/>
            </w:tcBorders>
            <w:shd w:val="clear" w:color="auto" w:fill="auto"/>
            <w:noWrap/>
            <w:vAlign w:val="center"/>
          </w:tcPr>
          <w:p w14:paraId="6D906F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0C3CEC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47028F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696998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1C90C1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移位351双中线到北向安装降速预警装置</w:t>
            </w:r>
          </w:p>
        </w:tc>
      </w:tr>
      <w:tr w14:paraId="54843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22596B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991" w:type="pct"/>
            <w:tcBorders>
              <w:top w:val="nil"/>
              <w:left w:val="nil"/>
              <w:bottom w:val="single" w:color="auto" w:sz="4" w:space="0"/>
              <w:right w:val="single" w:color="auto" w:sz="4" w:space="0"/>
            </w:tcBorders>
            <w:shd w:val="clear" w:color="auto" w:fill="auto"/>
            <w:noWrap/>
            <w:vAlign w:val="center"/>
          </w:tcPr>
          <w:p w14:paraId="0E120D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通港大道-五一路</w:t>
            </w:r>
          </w:p>
        </w:tc>
        <w:tc>
          <w:tcPr>
            <w:tcW w:w="494" w:type="pct"/>
            <w:tcBorders>
              <w:top w:val="nil"/>
              <w:left w:val="nil"/>
              <w:bottom w:val="single" w:color="auto" w:sz="4" w:space="0"/>
              <w:right w:val="single" w:color="auto" w:sz="4" w:space="0"/>
            </w:tcBorders>
            <w:shd w:val="clear" w:color="auto" w:fill="auto"/>
            <w:noWrap/>
            <w:vAlign w:val="center"/>
          </w:tcPr>
          <w:p w14:paraId="7D3A43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120.5046049</w:t>
            </w:r>
          </w:p>
        </w:tc>
        <w:tc>
          <w:tcPr>
            <w:tcW w:w="494" w:type="pct"/>
            <w:tcBorders>
              <w:top w:val="nil"/>
              <w:left w:val="nil"/>
              <w:bottom w:val="single" w:color="auto" w:sz="4" w:space="0"/>
              <w:right w:val="single" w:color="auto" w:sz="4" w:space="0"/>
            </w:tcBorders>
            <w:shd w:val="clear" w:color="auto" w:fill="auto"/>
            <w:noWrap/>
            <w:vAlign w:val="center"/>
          </w:tcPr>
          <w:p w14:paraId="3FE7B4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33.21954568</w:t>
            </w:r>
          </w:p>
        </w:tc>
        <w:tc>
          <w:tcPr>
            <w:tcW w:w="280" w:type="pct"/>
            <w:tcBorders>
              <w:top w:val="nil"/>
              <w:left w:val="nil"/>
              <w:bottom w:val="single" w:color="auto" w:sz="4" w:space="0"/>
              <w:right w:val="single" w:color="auto" w:sz="4" w:space="0"/>
            </w:tcBorders>
            <w:shd w:val="clear" w:color="auto" w:fill="auto"/>
            <w:noWrap/>
            <w:vAlign w:val="center"/>
          </w:tcPr>
          <w:p w14:paraId="685F95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4EF50F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07" w:type="pct"/>
            <w:tcBorders>
              <w:top w:val="nil"/>
              <w:left w:val="nil"/>
              <w:bottom w:val="single" w:color="auto" w:sz="4" w:space="0"/>
              <w:right w:val="single" w:color="auto" w:sz="4" w:space="0"/>
            </w:tcBorders>
            <w:shd w:val="clear" w:color="auto" w:fill="auto"/>
            <w:noWrap/>
            <w:vAlign w:val="center"/>
          </w:tcPr>
          <w:p w14:paraId="5393A6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5B62FF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95" w:type="pct"/>
            <w:tcBorders>
              <w:top w:val="nil"/>
              <w:left w:val="nil"/>
              <w:bottom w:val="single" w:color="auto" w:sz="4" w:space="0"/>
              <w:right w:val="single" w:color="auto" w:sz="4" w:space="0"/>
            </w:tcBorders>
            <w:shd w:val="clear" w:color="auto" w:fill="auto"/>
            <w:noWrap/>
            <w:vAlign w:val="center"/>
          </w:tcPr>
          <w:p w14:paraId="6EB017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30" w:type="pct"/>
            <w:tcBorders>
              <w:top w:val="nil"/>
              <w:left w:val="nil"/>
              <w:bottom w:val="single" w:color="auto" w:sz="4" w:space="0"/>
              <w:right w:val="single" w:color="auto" w:sz="4" w:space="0"/>
            </w:tcBorders>
            <w:shd w:val="clear" w:color="auto" w:fill="auto"/>
            <w:noWrap/>
            <w:vAlign w:val="center"/>
          </w:tcPr>
          <w:p w14:paraId="4BABB1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8" w:type="pct"/>
            <w:tcBorders>
              <w:top w:val="nil"/>
              <w:left w:val="nil"/>
              <w:bottom w:val="single" w:color="auto" w:sz="4" w:space="0"/>
              <w:right w:val="single" w:color="auto" w:sz="4" w:space="0"/>
            </w:tcBorders>
            <w:shd w:val="clear" w:color="auto" w:fill="auto"/>
            <w:noWrap/>
            <w:vAlign w:val="center"/>
          </w:tcPr>
          <w:p w14:paraId="197BB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5E094E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5C35BF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1D7C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2301F5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991" w:type="pct"/>
            <w:tcBorders>
              <w:top w:val="nil"/>
              <w:left w:val="nil"/>
              <w:bottom w:val="single" w:color="auto" w:sz="4" w:space="0"/>
              <w:right w:val="single" w:color="auto" w:sz="4" w:space="0"/>
            </w:tcBorders>
            <w:shd w:val="clear" w:color="auto" w:fill="auto"/>
            <w:noWrap/>
            <w:vAlign w:val="center"/>
          </w:tcPr>
          <w:p w14:paraId="1B9F59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204草戴线</w:t>
            </w:r>
          </w:p>
        </w:tc>
        <w:tc>
          <w:tcPr>
            <w:tcW w:w="494" w:type="pct"/>
            <w:tcBorders>
              <w:top w:val="nil"/>
              <w:left w:val="nil"/>
              <w:bottom w:val="single" w:color="auto" w:sz="4" w:space="0"/>
              <w:right w:val="single" w:color="auto" w:sz="4" w:space="0"/>
            </w:tcBorders>
            <w:shd w:val="clear" w:color="auto" w:fill="auto"/>
            <w:noWrap/>
            <w:vAlign w:val="center"/>
          </w:tcPr>
          <w:p w14:paraId="65DFFE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120.2892372</w:t>
            </w:r>
          </w:p>
        </w:tc>
        <w:tc>
          <w:tcPr>
            <w:tcW w:w="494" w:type="pct"/>
            <w:tcBorders>
              <w:top w:val="nil"/>
              <w:left w:val="nil"/>
              <w:bottom w:val="single" w:color="auto" w:sz="4" w:space="0"/>
              <w:right w:val="single" w:color="auto" w:sz="4" w:space="0"/>
            </w:tcBorders>
            <w:shd w:val="clear" w:color="auto" w:fill="auto"/>
            <w:noWrap/>
            <w:vAlign w:val="center"/>
          </w:tcPr>
          <w:p w14:paraId="00F90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32.92553579</w:t>
            </w:r>
          </w:p>
        </w:tc>
        <w:tc>
          <w:tcPr>
            <w:tcW w:w="280" w:type="pct"/>
            <w:tcBorders>
              <w:top w:val="nil"/>
              <w:left w:val="nil"/>
              <w:bottom w:val="single" w:color="auto" w:sz="4" w:space="0"/>
              <w:right w:val="single" w:color="auto" w:sz="4" w:space="0"/>
            </w:tcBorders>
            <w:shd w:val="clear" w:color="auto" w:fill="auto"/>
            <w:noWrap/>
            <w:vAlign w:val="center"/>
          </w:tcPr>
          <w:p w14:paraId="2F7CD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2D6243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07" w:type="pct"/>
            <w:tcBorders>
              <w:top w:val="nil"/>
              <w:left w:val="nil"/>
              <w:bottom w:val="single" w:color="auto" w:sz="4" w:space="0"/>
              <w:right w:val="single" w:color="auto" w:sz="4" w:space="0"/>
            </w:tcBorders>
            <w:shd w:val="clear" w:color="auto" w:fill="auto"/>
            <w:noWrap/>
            <w:vAlign w:val="center"/>
          </w:tcPr>
          <w:p w14:paraId="3D5888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649D19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95" w:type="pct"/>
            <w:tcBorders>
              <w:top w:val="nil"/>
              <w:left w:val="nil"/>
              <w:bottom w:val="single" w:color="auto" w:sz="4" w:space="0"/>
              <w:right w:val="single" w:color="auto" w:sz="4" w:space="0"/>
            </w:tcBorders>
            <w:shd w:val="clear" w:color="auto" w:fill="auto"/>
            <w:noWrap/>
            <w:vAlign w:val="center"/>
          </w:tcPr>
          <w:p w14:paraId="0C38E8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30" w:type="pct"/>
            <w:tcBorders>
              <w:top w:val="nil"/>
              <w:left w:val="nil"/>
              <w:bottom w:val="single" w:color="auto" w:sz="4" w:space="0"/>
              <w:right w:val="single" w:color="auto" w:sz="4" w:space="0"/>
            </w:tcBorders>
            <w:shd w:val="clear" w:color="auto" w:fill="auto"/>
            <w:noWrap/>
            <w:vAlign w:val="center"/>
          </w:tcPr>
          <w:p w14:paraId="696B52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0560B3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514ED5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006F76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27A35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71D67C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991" w:type="pct"/>
            <w:tcBorders>
              <w:top w:val="nil"/>
              <w:left w:val="nil"/>
              <w:bottom w:val="single" w:color="auto" w:sz="4" w:space="0"/>
              <w:right w:val="single" w:color="auto" w:sz="4" w:space="0"/>
            </w:tcBorders>
            <w:shd w:val="clear" w:color="auto" w:fill="auto"/>
            <w:noWrap/>
            <w:vAlign w:val="center"/>
          </w:tcPr>
          <w:p w14:paraId="04AADD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大白公路通榆河桥西侧</w:t>
            </w:r>
          </w:p>
        </w:tc>
        <w:tc>
          <w:tcPr>
            <w:tcW w:w="494" w:type="pct"/>
            <w:tcBorders>
              <w:top w:val="nil"/>
              <w:left w:val="nil"/>
              <w:bottom w:val="single" w:color="auto" w:sz="4" w:space="0"/>
              <w:right w:val="single" w:color="auto" w:sz="4" w:space="0"/>
            </w:tcBorders>
            <w:shd w:val="clear" w:color="auto" w:fill="auto"/>
            <w:noWrap/>
            <w:vAlign w:val="center"/>
          </w:tcPr>
          <w:p w14:paraId="65AEFD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120.3168872</w:t>
            </w:r>
          </w:p>
        </w:tc>
        <w:tc>
          <w:tcPr>
            <w:tcW w:w="494" w:type="pct"/>
            <w:tcBorders>
              <w:top w:val="nil"/>
              <w:left w:val="nil"/>
              <w:bottom w:val="single" w:color="auto" w:sz="4" w:space="0"/>
              <w:right w:val="single" w:color="auto" w:sz="4" w:space="0"/>
            </w:tcBorders>
            <w:shd w:val="clear" w:color="auto" w:fill="auto"/>
            <w:noWrap/>
            <w:vAlign w:val="center"/>
          </w:tcPr>
          <w:p w14:paraId="3C27B5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33.07312048</w:t>
            </w:r>
          </w:p>
        </w:tc>
        <w:tc>
          <w:tcPr>
            <w:tcW w:w="280" w:type="pct"/>
            <w:tcBorders>
              <w:top w:val="nil"/>
              <w:left w:val="nil"/>
              <w:bottom w:val="single" w:color="auto" w:sz="4" w:space="0"/>
              <w:right w:val="single" w:color="auto" w:sz="4" w:space="0"/>
            </w:tcBorders>
            <w:shd w:val="clear" w:color="auto" w:fill="auto"/>
            <w:noWrap/>
            <w:vAlign w:val="center"/>
          </w:tcPr>
          <w:p w14:paraId="3E5CA9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6D3E8D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07" w:type="pct"/>
            <w:tcBorders>
              <w:top w:val="nil"/>
              <w:left w:val="nil"/>
              <w:bottom w:val="single" w:color="auto" w:sz="4" w:space="0"/>
              <w:right w:val="single" w:color="auto" w:sz="4" w:space="0"/>
            </w:tcBorders>
            <w:shd w:val="clear" w:color="auto" w:fill="auto"/>
            <w:noWrap/>
            <w:vAlign w:val="center"/>
          </w:tcPr>
          <w:p w14:paraId="359183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0A7552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95" w:type="pct"/>
            <w:tcBorders>
              <w:top w:val="nil"/>
              <w:left w:val="nil"/>
              <w:bottom w:val="single" w:color="auto" w:sz="4" w:space="0"/>
              <w:right w:val="single" w:color="auto" w:sz="4" w:space="0"/>
            </w:tcBorders>
            <w:shd w:val="clear" w:color="auto" w:fill="auto"/>
            <w:noWrap/>
            <w:vAlign w:val="center"/>
          </w:tcPr>
          <w:p w14:paraId="72CB2C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20F7CE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1083B9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275B3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730903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4DDF6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39EA62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991" w:type="pct"/>
            <w:tcBorders>
              <w:top w:val="nil"/>
              <w:left w:val="nil"/>
              <w:bottom w:val="single" w:color="auto" w:sz="4" w:space="0"/>
              <w:right w:val="single" w:color="auto" w:sz="4" w:space="0"/>
            </w:tcBorders>
            <w:shd w:val="clear" w:color="auto" w:fill="auto"/>
            <w:noWrap/>
            <w:vAlign w:val="center"/>
          </w:tcPr>
          <w:p w14:paraId="5E3955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大华路-花园路</w:t>
            </w:r>
          </w:p>
        </w:tc>
        <w:tc>
          <w:tcPr>
            <w:tcW w:w="494" w:type="pct"/>
            <w:tcBorders>
              <w:top w:val="nil"/>
              <w:left w:val="nil"/>
              <w:bottom w:val="single" w:color="auto" w:sz="4" w:space="0"/>
              <w:right w:val="single" w:color="auto" w:sz="4" w:space="0"/>
            </w:tcBorders>
            <w:shd w:val="clear" w:color="auto" w:fill="auto"/>
            <w:noWrap/>
            <w:vAlign w:val="center"/>
          </w:tcPr>
          <w:p w14:paraId="3D98E2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120.5090485</w:t>
            </w:r>
          </w:p>
        </w:tc>
        <w:tc>
          <w:tcPr>
            <w:tcW w:w="494" w:type="pct"/>
            <w:tcBorders>
              <w:top w:val="nil"/>
              <w:left w:val="nil"/>
              <w:bottom w:val="single" w:color="auto" w:sz="4" w:space="0"/>
              <w:right w:val="single" w:color="auto" w:sz="4" w:space="0"/>
            </w:tcBorders>
            <w:shd w:val="clear" w:color="auto" w:fill="auto"/>
            <w:noWrap/>
            <w:vAlign w:val="center"/>
          </w:tcPr>
          <w:p w14:paraId="573A1F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33.19908814</w:t>
            </w:r>
          </w:p>
        </w:tc>
        <w:tc>
          <w:tcPr>
            <w:tcW w:w="280" w:type="pct"/>
            <w:tcBorders>
              <w:top w:val="nil"/>
              <w:left w:val="nil"/>
              <w:bottom w:val="single" w:color="auto" w:sz="4" w:space="0"/>
              <w:right w:val="single" w:color="auto" w:sz="4" w:space="0"/>
            </w:tcBorders>
            <w:shd w:val="clear" w:color="auto" w:fill="auto"/>
            <w:noWrap/>
            <w:vAlign w:val="center"/>
          </w:tcPr>
          <w:p w14:paraId="1C5604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037D7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7" w:type="pct"/>
            <w:tcBorders>
              <w:top w:val="nil"/>
              <w:left w:val="nil"/>
              <w:bottom w:val="single" w:color="auto" w:sz="4" w:space="0"/>
              <w:right w:val="single" w:color="auto" w:sz="4" w:space="0"/>
            </w:tcBorders>
            <w:shd w:val="clear" w:color="auto" w:fill="auto"/>
            <w:noWrap/>
            <w:vAlign w:val="center"/>
          </w:tcPr>
          <w:p w14:paraId="40A9F6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04CA60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95" w:type="pct"/>
            <w:tcBorders>
              <w:top w:val="nil"/>
              <w:left w:val="nil"/>
              <w:bottom w:val="single" w:color="auto" w:sz="4" w:space="0"/>
              <w:right w:val="single" w:color="auto" w:sz="4" w:space="0"/>
            </w:tcBorders>
            <w:shd w:val="clear" w:color="auto" w:fill="auto"/>
            <w:noWrap/>
            <w:vAlign w:val="center"/>
          </w:tcPr>
          <w:p w14:paraId="18CF64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612A0F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18EBE6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254071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903" w:type="pct"/>
            <w:tcBorders>
              <w:top w:val="nil"/>
              <w:left w:val="nil"/>
              <w:bottom w:val="single" w:color="auto" w:sz="4" w:space="0"/>
              <w:right w:val="single" w:color="auto" w:sz="4" w:space="0"/>
            </w:tcBorders>
            <w:shd w:val="clear" w:color="auto" w:fill="auto"/>
            <w:noWrap/>
            <w:vAlign w:val="center"/>
          </w:tcPr>
          <w:p w14:paraId="443823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3AA12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11F1DE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991" w:type="pct"/>
            <w:tcBorders>
              <w:top w:val="nil"/>
              <w:left w:val="nil"/>
              <w:bottom w:val="single" w:color="auto" w:sz="4" w:space="0"/>
              <w:right w:val="single" w:color="auto" w:sz="4" w:space="0"/>
            </w:tcBorders>
            <w:shd w:val="clear" w:color="auto" w:fill="auto"/>
            <w:noWrap/>
            <w:vAlign w:val="center"/>
          </w:tcPr>
          <w:p w14:paraId="2D4EB2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蓝天浴室西侧路南</w:t>
            </w:r>
          </w:p>
        </w:tc>
        <w:tc>
          <w:tcPr>
            <w:tcW w:w="494" w:type="pct"/>
            <w:tcBorders>
              <w:top w:val="nil"/>
              <w:left w:val="nil"/>
              <w:bottom w:val="single" w:color="auto" w:sz="4" w:space="0"/>
              <w:right w:val="single" w:color="auto" w:sz="4" w:space="0"/>
            </w:tcBorders>
            <w:shd w:val="clear" w:color="auto" w:fill="auto"/>
            <w:noWrap/>
            <w:vAlign w:val="center"/>
          </w:tcPr>
          <w:p w14:paraId="317F3B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120.3672136</w:t>
            </w:r>
          </w:p>
        </w:tc>
        <w:tc>
          <w:tcPr>
            <w:tcW w:w="494" w:type="pct"/>
            <w:tcBorders>
              <w:top w:val="nil"/>
              <w:left w:val="nil"/>
              <w:bottom w:val="single" w:color="auto" w:sz="4" w:space="0"/>
              <w:right w:val="single" w:color="auto" w:sz="4" w:space="0"/>
            </w:tcBorders>
            <w:shd w:val="clear" w:color="auto" w:fill="auto"/>
            <w:noWrap/>
            <w:vAlign w:val="center"/>
          </w:tcPr>
          <w:p w14:paraId="75D3D4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33.17274768</w:t>
            </w:r>
          </w:p>
        </w:tc>
        <w:tc>
          <w:tcPr>
            <w:tcW w:w="280" w:type="pct"/>
            <w:tcBorders>
              <w:top w:val="nil"/>
              <w:left w:val="nil"/>
              <w:bottom w:val="single" w:color="auto" w:sz="4" w:space="0"/>
              <w:right w:val="single" w:color="auto" w:sz="4" w:space="0"/>
            </w:tcBorders>
            <w:shd w:val="clear" w:color="auto" w:fill="auto"/>
            <w:noWrap/>
            <w:vAlign w:val="center"/>
          </w:tcPr>
          <w:p w14:paraId="238AAB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5505D5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07" w:type="pct"/>
            <w:tcBorders>
              <w:top w:val="nil"/>
              <w:left w:val="nil"/>
              <w:bottom w:val="single" w:color="auto" w:sz="4" w:space="0"/>
              <w:right w:val="single" w:color="auto" w:sz="4" w:space="0"/>
            </w:tcBorders>
            <w:shd w:val="clear" w:color="auto" w:fill="auto"/>
            <w:noWrap/>
            <w:vAlign w:val="center"/>
          </w:tcPr>
          <w:p w14:paraId="208D73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11D933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95" w:type="pct"/>
            <w:tcBorders>
              <w:top w:val="nil"/>
              <w:left w:val="nil"/>
              <w:bottom w:val="single" w:color="auto" w:sz="4" w:space="0"/>
              <w:right w:val="single" w:color="auto" w:sz="4" w:space="0"/>
            </w:tcBorders>
            <w:shd w:val="clear" w:color="auto" w:fill="auto"/>
            <w:noWrap/>
            <w:vAlign w:val="center"/>
          </w:tcPr>
          <w:p w14:paraId="4A576C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5AE74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074AA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1C7751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3" w:type="pct"/>
            <w:tcBorders>
              <w:top w:val="nil"/>
              <w:left w:val="nil"/>
              <w:bottom w:val="single" w:color="auto" w:sz="4" w:space="0"/>
              <w:right w:val="single" w:color="auto" w:sz="4" w:space="0"/>
            </w:tcBorders>
            <w:shd w:val="clear" w:color="auto" w:fill="auto"/>
            <w:noWrap/>
            <w:vAlign w:val="center"/>
          </w:tcPr>
          <w:p w14:paraId="14D90F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r w14:paraId="6F61C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58" w:type="pct"/>
            <w:tcBorders>
              <w:top w:val="nil"/>
              <w:left w:val="single" w:color="auto" w:sz="4" w:space="0"/>
              <w:bottom w:val="single" w:color="auto" w:sz="4" w:space="0"/>
              <w:right w:val="single" w:color="auto" w:sz="4" w:space="0"/>
            </w:tcBorders>
            <w:shd w:val="clear" w:color="auto" w:fill="auto"/>
            <w:noWrap/>
            <w:vAlign w:val="center"/>
          </w:tcPr>
          <w:p w14:paraId="7467A0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991" w:type="pct"/>
            <w:tcBorders>
              <w:top w:val="nil"/>
              <w:left w:val="nil"/>
              <w:bottom w:val="single" w:color="auto" w:sz="4" w:space="0"/>
              <w:right w:val="single" w:color="auto" w:sz="4" w:space="0"/>
            </w:tcBorders>
            <w:shd w:val="clear" w:color="auto" w:fill="auto"/>
            <w:noWrap/>
            <w:vAlign w:val="center"/>
          </w:tcPr>
          <w:p w14:paraId="0EAE17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蓝天浴室东侧路北</w:t>
            </w:r>
          </w:p>
        </w:tc>
        <w:tc>
          <w:tcPr>
            <w:tcW w:w="494" w:type="pct"/>
            <w:tcBorders>
              <w:top w:val="nil"/>
              <w:left w:val="nil"/>
              <w:bottom w:val="single" w:color="auto" w:sz="4" w:space="0"/>
              <w:right w:val="single" w:color="auto" w:sz="4" w:space="0"/>
            </w:tcBorders>
            <w:shd w:val="clear" w:color="auto" w:fill="auto"/>
            <w:noWrap/>
            <w:vAlign w:val="center"/>
          </w:tcPr>
          <w:p w14:paraId="72212E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120.3697109</w:t>
            </w:r>
          </w:p>
        </w:tc>
        <w:tc>
          <w:tcPr>
            <w:tcW w:w="494" w:type="pct"/>
            <w:tcBorders>
              <w:top w:val="nil"/>
              <w:left w:val="nil"/>
              <w:bottom w:val="single" w:color="auto" w:sz="4" w:space="0"/>
              <w:right w:val="single" w:color="auto" w:sz="4" w:space="0"/>
            </w:tcBorders>
            <w:shd w:val="clear" w:color="auto" w:fill="auto"/>
            <w:noWrap/>
            <w:vAlign w:val="center"/>
          </w:tcPr>
          <w:p w14:paraId="10DF8B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33.17415985</w:t>
            </w:r>
          </w:p>
        </w:tc>
        <w:tc>
          <w:tcPr>
            <w:tcW w:w="280" w:type="pct"/>
            <w:tcBorders>
              <w:top w:val="nil"/>
              <w:left w:val="nil"/>
              <w:bottom w:val="single" w:color="auto" w:sz="4" w:space="0"/>
              <w:right w:val="single" w:color="auto" w:sz="4" w:space="0"/>
            </w:tcBorders>
            <w:shd w:val="clear" w:color="auto" w:fill="auto"/>
            <w:noWrap/>
            <w:vAlign w:val="center"/>
          </w:tcPr>
          <w:p w14:paraId="1B87E1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26" w:type="pct"/>
            <w:tcBorders>
              <w:top w:val="nil"/>
              <w:left w:val="nil"/>
              <w:bottom w:val="single" w:color="auto" w:sz="4" w:space="0"/>
              <w:right w:val="single" w:color="auto" w:sz="4" w:space="0"/>
            </w:tcBorders>
            <w:shd w:val="clear" w:color="auto" w:fill="auto"/>
            <w:noWrap/>
            <w:vAlign w:val="center"/>
          </w:tcPr>
          <w:p w14:paraId="38F72F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07" w:type="pct"/>
            <w:tcBorders>
              <w:top w:val="nil"/>
              <w:left w:val="nil"/>
              <w:bottom w:val="single" w:color="auto" w:sz="4" w:space="0"/>
              <w:right w:val="single" w:color="auto" w:sz="4" w:space="0"/>
            </w:tcBorders>
            <w:shd w:val="clear" w:color="auto" w:fill="auto"/>
            <w:noWrap/>
            <w:vAlign w:val="center"/>
          </w:tcPr>
          <w:p w14:paraId="318649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76" w:type="pct"/>
            <w:tcBorders>
              <w:top w:val="nil"/>
              <w:left w:val="nil"/>
              <w:bottom w:val="single" w:color="auto" w:sz="4" w:space="0"/>
              <w:right w:val="single" w:color="auto" w:sz="4" w:space="0"/>
            </w:tcBorders>
            <w:shd w:val="clear" w:color="auto" w:fill="auto"/>
            <w:noWrap/>
            <w:vAlign w:val="center"/>
          </w:tcPr>
          <w:p w14:paraId="54BF8E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195" w:type="pct"/>
            <w:tcBorders>
              <w:top w:val="nil"/>
              <w:left w:val="nil"/>
              <w:bottom w:val="single" w:color="auto" w:sz="4" w:space="0"/>
              <w:right w:val="single" w:color="auto" w:sz="4" w:space="0"/>
            </w:tcBorders>
            <w:shd w:val="clear" w:color="auto" w:fill="auto"/>
            <w:noWrap/>
            <w:vAlign w:val="center"/>
          </w:tcPr>
          <w:p w14:paraId="59CF46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30" w:type="pct"/>
            <w:tcBorders>
              <w:top w:val="nil"/>
              <w:left w:val="nil"/>
              <w:bottom w:val="single" w:color="auto" w:sz="4" w:space="0"/>
              <w:right w:val="single" w:color="auto" w:sz="4" w:space="0"/>
            </w:tcBorders>
            <w:shd w:val="clear" w:color="auto" w:fill="auto"/>
            <w:noWrap/>
            <w:vAlign w:val="center"/>
          </w:tcPr>
          <w:p w14:paraId="1A26D4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298" w:type="pct"/>
            <w:tcBorders>
              <w:top w:val="nil"/>
              <w:left w:val="nil"/>
              <w:bottom w:val="single" w:color="auto" w:sz="4" w:space="0"/>
              <w:right w:val="single" w:color="auto" w:sz="4" w:space="0"/>
            </w:tcBorders>
            <w:shd w:val="clear" w:color="auto" w:fill="auto"/>
            <w:noWrap/>
            <w:vAlign w:val="center"/>
          </w:tcPr>
          <w:p w14:paraId="64EC24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c>
          <w:tcPr>
            <w:tcW w:w="341" w:type="pct"/>
            <w:tcBorders>
              <w:top w:val="nil"/>
              <w:left w:val="nil"/>
              <w:bottom w:val="single" w:color="auto" w:sz="4" w:space="0"/>
              <w:right w:val="single" w:color="auto" w:sz="4" w:space="0"/>
            </w:tcBorders>
            <w:shd w:val="clear" w:color="auto" w:fill="auto"/>
            <w:noWrap/>
            <w:vAlign w:val="center"/>
          </w:tcPr>
          <w:p w14:paraId="727BEC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903" w:type="pct"/>
            <w:tcBorders>
              <w:top w:val="nil"/>
              <w:left w:val="nil"/>
              <w:bottom w:val="single" w:color="auto" w:sz="4" w:space="0"/>
              <w:right w:val="single" w:color="auto" w:sz="4" w:space="0"/>
            </w:tcBorders>
            <w:shd w:val="clear" w:color="auto" w:fill="auto"/>
            <w:noWrap/>
            <w:vAlign w:val="center"/>
          </w:tcPr>
          <w:p w14:paraId="22CB2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w:t>
            </w:r>
          </w:p>
        </w:tc>
      </w:tr>
    </w:tbl>
    <w:p w14:paraId="673070C2">
      <w:pPr>
        <w:pageBreakBefore w:val="0"/>
        <w:tabs>
          <w:tab w:val="left" w:pos="9240"/>
        </w:tabs>
        <w:kinsoku/>
        <w:wordWrap/>
        <w:overflowPunct/>
        <w:topLinePunct w:val="0"/>
        <w:autoSpaceDE/>
        <w:autoSpaceDN/>
        <w:bidi w:val="0"/>
        <w:adjustRightInd/>
        <w:snapToGrid/>
        <w:spacing w:line="400" w:lineRule="exact"/>
        <w:ind w:firstLine="0" w:firstLineChars="0"/>
        <w:jc w:val="left"/>
        <w:rPr>
          <w:rFonts w:hint="eastAsia" w:ascii="宋体" w:hAnsi="宋体" w:eastAsia="宋体" w:cs="宋体"/>
          <w:color w:val="auto"/>
          <w:kern w:val="2"/>
          <w:sz w:val="22"/>
          <w:szCs w:val="22"/>
        </w:rPr>
      </w:pPr>
    </w:p>
    <w:p w14:paraId="63C81248">
      <w:pPr>
        <w:pageBreakBefore w:val="0"/>
        <w:tabs>
          <w:tab w:val="left" w:pos="9240"/>
        </w:tabs>
        <w:kinsoku/>
        <w:wordWrap/>
        <w:overflowPunct/>
        <w:topLinePunct w:val="0"/>
        <w:autoSpaceDE/>
        <w:autoSpaceDN/>
        <w:bidi w:val="0"/>
        <w:adjustRightInd/>
        <w:snapToGrid/>
        <w:spacing w:line="400" w:lineRule="exact"/>
        <w:ind w:firstLine="0" w:firstLineChars="0"/>
        <w:jc w:val="left"/>
        <w:rPr>
          <w:rFonts w:hint="eastAsia" w:ascii="宋体" w:hAnsi="宋体" w:eastAsia="宋体" w:cs="宋体"/>
          <w:color w:val="auto"/>
          <w:kern w:val="2"/>
          <w:sz w:val="22"/>
          <w:szCs w:val="22"/>
        </w:rPr>
      </w:pPr>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7"/>
        <w:gridCol w:w="6580"/>
        <w:gridCol w:w="3274"/>
        <w:gridCol w:w="3243"/>
      </w:tblGrid>
      <w:tr w14:paraId="0AEE7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5A3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2" w:firstLineChars="200"/>
              <w:jc w:val="center"/>
              <w:textAlignment w:val="center"/>
              <w:rPr>
                <w:rFonts w:hint="eastAsia" w:ascii="宋体" w:hAnsi="宋体" w:eastAsia="宋体" w:cs="宋体"/>
                <w:b/>
                <w:bCs/>
                <w:i w:val="0"/>
                <w:iCs w:val="0"/>
                <w:color w:val="auto"/>
                <w:kern w:val="2"/>
                <w:sz w:val="22"/>
                <w:szCs w:val="22"/>
                <w:u w:val="none"/>
              </w:rPr>
            </w:pPr>
            <w:r>
              <w:rPr>
                <w:rFonts w:hint="eastAsia" w:ascii="宋体" w:hAnsi="宋体" w:eastAsia="宋体" w:cs="宋体"/>
                <w:b/>
                <w:bCs/>
                <w:i w:val="0"/>
                <w:iCs w:val="0"/>
                <w:color w:val="auto"/>
                <w:kern w:val="0"/>
                <w:sz w:val="22"/>
                <w:szCs w:val="22"/>
                <w:u w:val="none"/>
                <w:lang w:val="en-US" w:eastAsia="zh-CN" w:bidi="ar"/>
              </w:rPr>
              <w:t>标志标牌标线点位</w:t>
            </w:r>
          </w:p>
        </w:tc>
      </w:tr>
      <w:tr w14:paraId="48A5D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D1AD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2"/>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23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76C9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2"/>
                <w:sz w:val="22"/>
                <w:szCs w:val="22"/>
                <w:u w:val="none"/>
              </w:rPr>
            </w:pPr>
            <w:r>
              <w:rPr>
                <w:rFonts w:hint="eastAsia" w:ascii="宋体" w:hAnsi="宋体" w:eastAsia="宋体" w:cs="宋体"/>
                <w:b/>
                <w:bCs/>
                <w:i w:val="0"/>
                <w:iCs w:val="0"/>
                <w:color w:val="auto"/>
                <w:kern w:val="0"/>
                <w:sz w:val="22"/>
                <w:szCs w:val="22"/>
                <w:u w:val="none"/>
                <w:lang w:val="en-US" w:eastAsia="zh-CN" w:bidi="ar"/>
              </w:rPr>
              <w:t>隐患地点</w:t>
            </w:r>
          </w:p>
        </w:tc>
        <w:tc>
          <w:tcPr>
            <w:tcW w:w="115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0D1DE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2" w:firstLineChars="200"/>
              <w:jc w:val="left"/>
              <w:textAlignment w:val="center"/>
              <w:rPr>
                <w:rFonts w:hint="eastAsia" w:ascii="宋体" w:hAnsi="宋体" w:eastAsia="宋体" w:cs="宋体"/>
                <w:b/>
                <w:bCs/>
                <w:i w:val="0"/>
                <w:iCs w:val="0"/>
                <w:color w:val="auto"/>
                <w:kern w:val="2"/>
                <w:sz w:val="22"/>
                <w:szCs w:val="22"/>
                <w:u w:val="none"/>
              </w:rPr>
            </w:pPr>
            <w:r>
              <w:rPr>
                <w:rFonts w:hint="eastAsia" w:ascii="宋体" w:hAnsi="宋体" w:eastAsia="宋体" w:cs="宋体"/>
                <w:b/>
                <w:bCs/>
                <w:i w:val="0"/>
                <w:iCs w:val="0"/>
                <w:color w:val="auto"/>
                <w:kern w:val="0"/>
                <w:sz w:val="22"/>
                <w:szCs w:val="22"/>
                <w:u w:val="none"/>
                <w:lang w:val="en-US" w:eastAsia="zh-CN" w:bidi="ar"/>
              </w:rPr>
              <w:t>经度（GCJ-202）</w:t>
            </w:r>
          </w:p>
        </w:tc>
        <w:tc>
          <w:tcPr>
            <w:tcW w:w="114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6B2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2" w:firstLineChars="200"/>
              <w:jc w:val="left"/>
              <w:textAlignment w:val="center"/>
              <w:rPr>
                <w:rFonts w:hint="eastAsia" w:ascii="宋体" w:hAnsi="宋体" w:eastAsia="宋体" w:cs="宋体"/>
                <w:b/>
                <w:bCs/>
                <w:i w:val="0"/>
                <w:iCs w:val="0"/>
                <w:color w:val="auto"/>
                <w:kern w:val="2"/>
                <w:sz w:val="22"/>
                <w:szCs w:val="22"/>
                <w:u w:val="none"/>
              </w:rPr>
            </w:pPr>
            <w:r>
              <w:rPr>
                <w:rFonts w:hint="eastAsia" w:ascii="宋体" w:hAnsi="宋体" w:eastAsia="宋体" w:cs="宋体"/>
                <w:b/>
                <w:bCs/>
                <w:i w:val="0"/>
                <w:iCs w:val="0"/>
                <w:color w:val="auto"/>
                <w:kern w:val="0"/>
                <w:sz w:val="22"/>
                <w:szCs w:val="22"/>
                <w:u w:val="none"/>
                <w:lang w:val="en-US" w:eastAsia="zh-CN" w:bidi="ar"/>
              </w:rPr>
              <w:t>维度（GCJ-202）</w:t>
            </w:r>
          </w:p>
        </w:tc>
      </w:tr>
      <w:tr w14:paraId="5D4D5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F24E4">
            <w:pPr>
              <w:keepNext w:val="0"/>
              <w:keepLines w:val="0"/>
              <w:pageBreakBefore w:val="0"/>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2" w:firstLineChars="200"/>
              <w:jc w:val="left"/>
              <w:rPr>
                <w:rFonts w:hint="eastAsia" w:ascii="宋体" w:hAnsi="宋体" w:eastAsia="宋体" w:cs="宋体"/>
                <w:b/>
                <w:bCs/>
                <w:i w:val="0"/>
                <w:iCs w:val="0"/>
                <w:color w:val="auto"/>
                <w:kern w:val="2"/>
                <w:sz w:val="22"/>
                <w:szCs w:val="22"/>
                <w:u w:val="none"/>
              </w:rPr>
            </w:pPr>
          </w:p>
        </w:tc>
        <w:tc>
          <w:tcPr>
            <w:tcW w:w="23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9AD5E">
            <w:pPr>
              <w:keepNext w:val="0"/>
              <w:keepLines w:val="0"/>
              <w:pageBreakBefore w:val="0"/>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2" w:firstLineChars="200"/>
              <w:jc w:val="center"/>
              <w:rPr>
                <w:rFonts w:hint="eastAsia" w:ascii="宋体" w:hAnsi="宋体" w:eastAsia="宋体" w:cs="宋体"/>
                <w:b/>
                <w:bCs/>
                <w:i w:val="0"/>
                <w:iCs w:val="0"/>
                <w:color w:val="auto"/>
                <w:kern w:val="2"/>
                <w:sz w:val="22"/>
                <w:szCs w:val="22"/>
                <w:u w:val="none"/>
              </w:rPr>
            </w:pPr>
          </w:p>
        </w:tc>
        <w:tc>
          <w:tcPr>
            <w:tcW w:w="115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4AE5E">
            <w:pPr>
              <w:keepNext w:val="0"/>
              <w:keepLines w:val="0"/>
              <w:pageBreakBefore w:val="0"/>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2" w:firstLineChars="200"/>
              <w:jc w:val="left"/>
              <w:rPr>
                <w:rFonts w:hint="eastAsia" w:ascii="宋体" w:hAnsi="宋体" w:eastAsia="宋体" w:cs="宋体"/>
                <w:b/>
                <w:bCs/>
                <w:i w:val="0"/>
                <w:iCs w:val="0"/>
                <w:color w:val="auto"/>
                <w:kern w:val="2"/>
                <w:sz w:val="22"/>
                <w:szCs w:val="22"/>
                <w:u w:val="none"/>
              </w:rPr>
            </w:pPr>
          </w:p>
        </w:tc>
        <w:tc>
          <w:tcPr>
            <w:tcW w:w="114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39B9C">
            <w:pPr>
              <w:keepNext w:val="0"/>
              <w:keepLines w:val="0"/>
              <w:pageBreakBefore w:val="0"/>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2" w:firstLineChars="200"/>
              <w:jc w:val="left"/>
              <w:rPr>
                <w:rFonts w:hint="eastAsia" w:ascii="宋体" w:hAnsi="宋体" w:eastAsia="宋体" w:cs="宋体"/>
                <w:b/>
                <w:bCs/>
                <w:i w:val="0"/>
                <w:iCs w:val="0"/>
                <w:color w:val="auto"/>
                <w:kern w:val="2"/>
                <w:sz w:val="22"/>
                <w:szCs w:val="22"/>
                <w:u w:val="none"/>
              </w:rPr>
            </w:pPr>
          </w:p>
        </w:tc>
      </w:tr>
      <w:tr w14:paraId="51612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DF80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C4D8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新丰镇新龙路交花庄一号门前路段</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B5F2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120.410859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3435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33.26752372</w:t>
            </w:r>
          </w:p>
        </w:tc>
      </w:tr>
      <w:tr w14:paraId="46CB4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4D6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4C7E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新丰镇新龙路标准农田示范区门前路段</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7505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120.3990305</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E62A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33.26553223</w:t>
            </w:r>
          </w:p>
        </w:tc>
      </w:tr>
      <w:tr w14:paraId="5C36B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744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EDD6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新丰镇新龙路沙港村四组路段处</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8FB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120.4077852</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AA0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33.26709762</w:t>
            </w:r>
          </w:p>
        </w:tc>
      </w:tr>
      <w:tr w14:paraId="600F2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973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29D1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新丰镇新龙路标准农田示范区门前东向西路段</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667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120.4017019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F7DB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33.26644725</w:t>
            </w:r>
          </w:p>
        </w:tc>
      </w:tr>
      <w:tr w14:paraId="2720F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332C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B28A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新丰镇新龙路大团村一组路段处</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CD4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120.31129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008E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33.22178872</w:t>
            </w:r>
          </w:p>
        </w:tc>
      </w:tr>
      <w:tr w14:paraId="2C00B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D397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3692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新丰镇新龙路大团村一组</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FF8D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120.3121269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C6D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33.22248879</w:t>
            </w:r>
          </w:p>
        </w:tc>
      </w:tr>
      <w:tr w14:paraId="3A645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C352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6615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新丰镇西龙线龙堤高架桥下</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D0AF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120.3571987</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A54E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33.24683512</w:t>
            </w:r>
          </w:p>
        </w:tc>
      </w:tr>
      <w:tr w14:paraId="63952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DD76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4B60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新丰镇新龙路交太兴油坊路口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594D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120.4147482</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B2FB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33.26796328</w:t>
            </w:r>
          </w:p>
        </w:tc>
      </w:tr>
      <w:tr w14:paraId="74958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871A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BC42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新丰镇新龙路交太兴村村部门前路段</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1306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120.4131335</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4A9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33.26778835</w:t>
            </w:r>
          </w:p>
        </w:tc>
      </w:tr>
      <w:tr w14:paraId="7B115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028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BF4A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新丰镇方大线交施家湾向北1公里</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239C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120.4533076</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747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33.32557993</w:t>
            </w:r>
          </w:p>
        </w:tc>
      </w:tr>
      <w:tr w14:paraId="28829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42F4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1B7C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新丰镇方大线金西村中心路</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F8E8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120.4533076</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C1EB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33.32896848</w:t>
            </w:r>
          </w:p>
        </w:tc>
      </w:tr>
      <w:tr w14:paraId="2CB3F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0877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8E3B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新丰镇方大线交新金线</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5C14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120.4529858</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997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33.33111988</w:t>
            </w:r>
          </w:p>
        </w:tc>
      </w:tr>
      <w:tr w14:paraId="3CBA2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0C7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C3A4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新丰镇方大线交方引线</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67E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120.389691</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49CB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33.41983656</w:t>
            </w:r>
          </w:p>
        </w:tc>
      </w:tr>
      <w:tr w14:paraId="17F8D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18F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FC92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果园场与三裕线</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0E6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120.4730797</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82DD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33.24946735</w:t>
            </w:r>
          </w:p>
        </w:tc>
      </w:tr>
      <w:tr w14:paraId="23008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4DEE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1E54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新丰镇三裕线与淮海大道交叉路口向北200米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5FBF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120.4716647</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F39A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33.26700343</w:t>
            </w:r>
          </w:p>
        </w:tc>
      </w:tr>
      <w:tr w14:paraId="2C97E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C7F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C626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新丰镇三裕线与新北线交叉路口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DAD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120.4718202</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FA45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33.26476523</w:t>
            </w:r>
          </w:p>
        </w:tc>
      </w:tr>
      <w:tr w14:paraId="5E071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383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9AA6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新丰镇三裕线交海益线向南200米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2BE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120.4679525</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8DFF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33.31428379</w:t>
            </w:r>
          </w:p>
        </w:tc>
      </w:tr>
      <w:tr w14:paraId="64939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18A4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EA03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新丰镇三裕线与淮海大道向南100米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EA2E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120.4719919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5918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33.26251351</w:t>
            </w:r>
          </w:p>
        </w:tc>
      </w:tr>
      <w:tr w14:paraId="64FDF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E1C5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9F01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新区大道与三裕线</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D89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120.4727807</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5C93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33.25304138</w:t>
            </w:r>
          </w:p>
        </w:tc>
      </w:tr>
      <w:tr w14:paraId="6954E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BE0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6E2F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新丰镇三裕线与新区大道向南50米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B350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120.4728661</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22F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33.25174834</w:t>
            </w:r>
          </w:p>
        </w:tc>
      </w:tr>
      <w:tr w14:paraId="0851D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1C2E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2B0F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新丰镇三裕线与南环大道向北100米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8A3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120.4732292</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B6A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33.24736604</w:t>
            </w:r>
          </w:p>
        </w:tc>
      </w:tr>
      <w:tr w14:paraId="32FC2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CF5E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46A5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新丰镇海益线交三裕线向南50米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AE9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120.468092</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657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33.31575416</w:t>
            </w:r>
          </w:p>
        </w:tc>
      </w:tr>
      <w:tr w14:paraId="3C716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401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C297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新丰镇淮海大道交同丰中心路</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B8C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120.4475892</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8B5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33.26305626</w:t>
            </w:r>
          </w:p>
        </w:tc>
      </w:tr>
      <w:tr w14:paraId="3C451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957D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1868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新丰镇淮海大道交沙港村村部向西100米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780B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120.4113042</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ACC5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33.26125306</w:t>
            </w:r>
          </w:p>
        </w:tc>
      </w:tr>
      <w:tr w14:paraId="1BB80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0BA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33AC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新丰镇淮海大道交新沙线向南100米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0AC0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120.4142064</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FA50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33.25983111</w:t>
            </w:r>
          </w:p>
        </w:tc>
      </w:tr>
      <w:tr w14:paraId="6C31E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065C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F7B3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新丰镇方三线交方齐线</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C8D4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120.3989124</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9D4D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33.34316671</w:t>
            </w:r>
          </w:p>
        </w:tc>
      </w:tr>
      <w:tr w14:paraId="2B00C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5FA8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01C3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丰余村二组中心路与无名路口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E3BE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120.4849128</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0780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33.37024707</w:t>
            </w:r>
          </w:p>
        </w:tc>
      </w:tr>
      <w:tr w14:paraId="4B613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CB5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0629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丰余村二组水泥路与陈余线路口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292C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120.4905551</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5D79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33.36463636</w:t>
            </w:r>
          </w:p>
        </w:tc>
      </w:tr>
      <w:tr w14:paraId="3D088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822A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5259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丰余村二组道路与陈余线路口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A0D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120.4903419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9637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33.37112786</w:t>
            </w:r>
          </w:p>
        </w:tc>
      </w:tr>
      <w:tr w14:paraId="325EE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15D4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56D5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丰余四组无名路与陈南线</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957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120.4990627</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BB7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33.37866799</w:t>
            </w:r>
          </w:p>
        </w:tc>
      </w:tr>
      <w:tr w14:paraId="185E6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7AFF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0C3DE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丰余八组中心路与无名路口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7189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120.4987639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B51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33.38347351</w:t>
            </w:r>
          </w:p>
        </w:tc>
      </w:tr>
      <w:tr w14:paraId="387CB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3BA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7917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Y171线与S331省道交叉口向北+200米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464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120.4406824</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F069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33.40290174</w:t>
            </w:r>
          </w:p>
        </w:tc>
      </w:tr>
      <w:tr w14:paraId="551EF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0BC2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3F7E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方方线5公里+200米</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7CF0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120.4955649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20F6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33.45838392</w:t>
            </w:r>
          </w:p>
        </w:tc>
      </w:tr>
      <w:tr w14:paraId="1BF25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0A6B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07A6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丰富村民委员会与Y171线路口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988F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120.4800449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7D69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 xml:space="preserve">33.43413840 </w:t>
            </w:r>
          </w:p>
        </w:tc>
      </w:tr>
      <w:tr w14:paraId="71D86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4091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15EB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丰富村民委员Y171线与持久中心线</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7EB7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120.4759833</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46C9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33.43719511</w:t>
            </w:r>
          </w:p>
        </w:tc>
      </w:tr>
      <w:tr w14:paraId="3F3EF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229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A863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久方线与久新线交叉路口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F1F3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120.4437258</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5B3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33.44192367</w:t>
            </w:r>
          </w:p>
        </w:tc>
      </w:tr>
      <w:tr w14:paraId="383DD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8E0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498E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三龙镇陈久线与久丰村45号变压器杆路口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B4E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120.4376453</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593E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33.43641491</w:t>
            </w:r>
          </w:p>
        </w:tc>
      </w:tr>
      <w:tr w14:paraId="7A718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C02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8457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三龙镇增方线与新中河南路（新坍村部北侧）路口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818E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120.4298478</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5B1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33.41434928</w:t>
            </w:r>
          </w:p>
        </w:tc>
      </w:tr>
      <w:tr w14:paraId="5AD29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AF93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28E2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三龙镇富强公路一号桥路口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B9CE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120.4557914</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B0D0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33.40068811</w:t>
            </w:r>
          </w:p>
        </w:tc>
      </w:tr>
      <w:tr w14:paraId="2B2A3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2188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50A8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三龙镇前进村太仓河南路与前进东洼路（114号电杆）路口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D155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120.4690305</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30AC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33.39581826</w:t>
            </w:r>
          </w:p>
        </w:tc>
      </w:tr>
      <w:tr w14:paraId="4CAB9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F61E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92EA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陈南线与向阳路路口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17E6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120.5247546</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D1F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33.39377544</w:t>
            </w:r>
          </w:p>
        </w:tc>
      </w:tr>
      <w:tr w14:paraId="1799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496B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FEFC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斗沙线与东港线交叉口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6463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120.5746329</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4463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33.45600489</w:t>
            </w:r>
          </w:p>
        </w:tc>
      </w:tr>
      <w:tr w14:paraId="6AAC8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3A45">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A678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斗沙线与三龙镇东合线路口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50C2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120.564311</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2ED6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 xml:space="preserve">33.45261660 </w:t>
            </w:r>
          </w:p>
        </w:tc>
      </w:tr>
      <w:tr w14:paraId="6BA1A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5C1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2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E588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三龙镇洋桥村洋桥线五排河桥北路口</w:t>
            </w:r>
          </w:p>
        </w:tc>
        <w:tc>
          <w:tcPr>
            <w:tcW w:w="11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7335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120.4812226</w:t>
            </w:r>
          </w:p>
        </w:tc>
        <w:tc>
          <w:tcPr>
            <w:tcW w:w="11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F03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33.45538065</w:t>
            </w:r>
          </w:p>
        </w:tc>
      </w:tr>
    </w:tbl>
    <w:p w14:paraId="1D9E73A2">
      <w:pPr>
        <w:pageBreakBefore w:val="0"/>
        <w:tabs>
          <w:tab w:val="left" w:pos="9240"/>
        </w:tabs>
        <w:kinsoku/>
        <w:wordWrap/>
        <w:overflowPunct/>
        <w:topLinePunct w:val="0"/>
        <w:autoSpaceDE/>
        <w:autoSpaceDN/>
        <w:bidi w:val="0"/>
        <w:adjustRightInd/>
        <w:snapToGrid/>
        <w:spacing w:line="400" w:lineRule="exact"/>
        <w:ind w:firstLine="0" w:firstLineChars="0"/>
        <w:jc w:val="left"/>
        <w:rPr>
          <w:rFonts w:hint="eastAsia" w:ascii="宋体" w:hAnsi="宋体" w:eastAsia="宋体" w:cs="宋体"/>
          <w:color w:val="auto"/>
          <w:sz w:val="24"/>
          <w:szCs w:val="24"/>
        </w:rPr>
        <w:sectPr>
          <w:pgSz w:w="16838" w:h="11906" w:orient="landscape"/>
          <w:pgMar w:top="1797" w:right="1440" w:bottom="1797" w:left="1440" w:header="851" w:footer="851" w:gutter="0"/>
          <w:pgNumType w:fmt="decimal"/>
          <w:cols w:space="425" w:num="1"/>
          <w:docGrid w:type="lines" w:linePitch="326" w:charSpace="0"/>
        </w:sectPr>
      </w:pPr>
    </w:p>
    <w:p w14:paraId="49685FDB">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206" w:name="_Toc11174"/>
      <w:r>
        <w:rPr>
          <w:rFonts w:hint="eastAsia" w:ascii="宋体" w:hAnsi="宋体" w:eastAsia="宋体" w:cs="宋体"/>
          <w:b/>
          <w:bCs/>
          <w:color w:val="auto"/>
          <w:kern w:val="2"/>
          <w:sz w:val="24"/>
          <w:szCs w:val="24"/>
          <w:lang w:val="en-US" w:eastAsia="zh-CN" w:bidi="ar-SA"/>
        </w:rPr>
        <w:t>3.4主要设备参数要求</w:t>
      </w:r>
      <w:bookmarkEnd w:id="206"/>
    </w:p>
    <w:p w14:paraId="4533C03C">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07" w:name="_Toc29330"/>
      <w:r>
        <w:rPr>
          <w:rFonts w:hint="eastAsia" w:ascii="宋体" w:hAnsi="宋体" w:eastAsia="宋体" w:cs="宋体"/>
          <w:b/>
          <w:bCs/>
          <w:color w:val="auto"/>
          <w:kern w:val="2"/>
          <w:sz w:val="24"/>
          <w:szCs w:val="24"/>
          <w:lang w:val="en-US" w:eastAsia="zh-CN" w:bidi="ar-SA"/>
        </w:rPr>
        <w:t>3.4.</w:t>
      </w:r>
      <w:bookmarkEnd w:id="207"/>
      <w:r>
        <w:rPr>
          <w:rFonts w:hint="eastAsia" w:ascii="宋体" w:hAnsi="宋体" w:eastAsia="宋体" w:cs="宋体"/>
          <w:b/>
          <w:bCs/>
          <w:color w:val="auto"/>
          <w:kern w:val="2"/>
          <w:sz w:val="24"/>
          <w:szCs w:val="24"/>
          <w:lang w:val="en-US" w:eastAsia="zh-CN" w:bidi="ar-SA"/>
        </w:rPr>
        <w:t>900万环保卡口相机</w:t>
      </w:r>
    </w:p>
    <w:p w14:paraId="34913CC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1、设备包含高清智能摄像机、高清镜头、单元防护罩、内置LED补光灯、相机内置网络防雷器、电源适配器等；</w:t>
      </w:r>
    </w:p>
    <w:p w14:paraId="0008882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★2、内置不小于1英寸高帧率彩色全局曝光CMOS高清智能摄像机，最大图像尺寸≥4096×2960像素，视频分辨率支持4096×2960；（提供具有CMA标识的国家权威机构检测报告原件扫描件证明并加盖投标人公章）</w:t>
      </w:r>
    </w:p>
    <w:p w14:paraId="6A1B670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设备的镜头和两个sensor一体化设计，具有独立三角分光棱镜分光结构装置，分别接收可见光和红外光，抓拍支持输出三张同时刻目标图片，包括可见光路图片，红外路图片和融合图片，三张图片抓拍时间为同一时刻，抓拍运动目标，三张图片中目标位置相同无位移；</w:t>
      </w:r>
    </w:p>
    <w:p w14:paraId="26BFE0B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4、视频压缩支持H.265、H.264、M-JPEG；</w:t>
      </w:r>
    </w:p>
    <w:p w14:paraId="470AF82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5、支持机动车、二轮车（摩托车、自行车、电动二轮车）、三轮车和行人分类检测；</w:t>
      </w:r>
    </w:p>
    <w:p w14:paraId="3E558FE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6、支持车前窗挂坠识别、年检标识识别、驾驶员抽烟识别、驾驶员人脸识别、遮阳板识别功能，支持驾驶室人脸抠图；</w:t>
      </w:r>
    </w:p>
    <w:p w14:paraId="6AAD0A6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7、支持检测并跟踪指定区域内不少于200个目标,目标包括机动车、非机动车以及行人等；</w:t>
      </w:r>
    </w:p>
    <w:p w14:paraId="14522E0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8、支持车辆捕获抓拍功能，在天气晴朗无雾，号牌无遮挡、无污损，白天环境光照度不低于200lx，晚上辅助光照度不高于30lx的条件下测试，白天和晚上的捕获率均≥99%；</w:t>
      </w:r>
    </w:p>
    <w:p w14:paraId="45C14A2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9、支持车牌识别功能（含新能源），在天气晴朗无雾，号牌无遮挡、无污损，白天环境光照度不低于200lx，晚上辅助光照度不高于30lx的条件下测试，白天和晚上的识别准确率均≥99%；</w:t>
      </w:r>
    </w:p>
    <w:p w14:paraId="75903C0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支持识别不少于39种车身颜色，包括白、黑、红、黄、灰、蓝、绿、粉、紫、暗紫、棕、栗色、银灰、暗灰、白烟、深橙、浅玫瑰、番茄红、橄榄、金、暗橄榄、黄绿、绿黄、森林绿、海洋绿、深天蓝、青、深蓝、深红、深绿、深黄、深粉、深紫、深棕、深青、橙、深金、粉红、其他；支持识别车身副颜色；</w:t>
      </w:r>
    </w:p>
    <w:p w14:paraId="2BF9936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11、支持检测并跟踪指定区域内不少于245个目标，目标包括机动车、非机动车以及行人；</w:t>
      </w:r>
    </w:p>
    <w:p w14:paraId="6879F1C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12、具有AI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提供具有CMA标识的国家权威机构检测报告原件扫描件证明并加盖投标人公章）</w:t>
      </w:r>
    </w:p>
    <w:p w14:paraId="64231C6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13、支持车辆子品牌识别功能，通过车头可识别7100种，通过车尾可识别3800种，全天识别准确率不低于99%；</w:t>
      </w:r>
    </w:p>
    <w:p w14:paraId="2A88F78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14、设备可在左右45°范围内识别机动车车辆特征，包括车牌号码、车身颜色、车辆类型；支持对25×10像素～1100×3000像素的机动车车牌进行抓拍并识别号码；支持抓拍并识别垂直倾斜角度≤45°、水平倾斜角度≤35°、俯仰角度≤40°的机动车车牌号码；</w:t>
      </w:r>
    </w:p>
    <w:p w14:paraId="0F174BF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15、支持外接多目标检测雷达，可实现雷达视频融合检测，可输出目标编号、车型和雷达速度、位置等信息；支持视频测速功能，视频测速误差不大于5%；（提供具有CMA标识的国家权威机构检测报告原件扫描件证明并加盖投标人公章）</w:t>
      </w:r>
    </w:p>
    <w:p w14:paraId="025F652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16、支持检测并跟踪指定区域内不少于245个目标，目标包括机动车、非机动车以及行人；</w:t>
      </w:r>
    </w:p>
    <w:p w14:paraId="0217B5C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17、具有抓拍黄牌车、蓝牌车、绿牌车、渐变绿牌车、黑牌车、白牌车、黄绿双拼牌车和不启用抓拍八个设置选项。可对蓝色、黄色、绿色、渐变绿色、黑色、白色、黄绿双拼色以及其他不同颜色车牌的车辆进行选择抓拍；</w:t>
      </w:r>
    </w:p>
    <w:p w14:paraId="265A6C7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18、支持35114A级加密；</w:t>
      </w:r>
    </w:p>
    <w:p w14:paraId="3D461E9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19、外壳防护等级应不低于IP66；</w:t>
      </w:r>
    </w:p>
    <w:p w14:paraId="015DDFF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20、设备采用180VAC～240VAC供电；频率：48Hz～52Hz；</w:t>
      </w:r>
    </w:p>
    <w:p w14:paraId="098D5F5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900万环保卡口相机采集的各类数据需无缝对接各类平台包括【大丰公安视频图象信息应用平台（抓拍数据汇聚至视图库），抓拍数据需同时实现交通违法综合管理应用平台、公安部集成指挥等平台深度应用】，并提供无缝对接承诺函加盖投标单位公章。</w:t>
      </w:r>
    </w:p>
    <w:p w14:paraId="09F20D3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08" w:name="_Toc3573"/>
      <w:r>
        <w:rPr>
          <w:rFonts w:hint="eastAsia" w:ascii="宋体" w:hAnsi="宋体" w:eastAsia="宋体" w:cs="宋体"/>
          <w:b/>
          <w:bCs/>
          <w:color w:val="auto"/>
          <w:kern w:val="2"/>
          <w:sz w:val="24"/>
          <w:szCs w:val="24"/>
          <w:lang w:val="en-US" w:eastAsia="zh-CN" w:bidi="ar-SA"/>
        </w:rPr>
        <w:t>3.4.2四合一补光灯</w:t>
      </w:r>
      <w:bookmarkEnd w:id="208"/>
    </w:p>
    <w:p w14:paraId="73AD1A2F">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1、采用24颗高性能大功率高亮度LED光源；</w:t>
      </w:r>
    </w:p>
    <w:p w14:paraId="288A7586">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2、采用LED光源和气灯放电两种光源，LED光源呈圆形排布，气体放电光源前置转轴叶片，支持红外和白光补光切换；</w:t>
      </w:r>
    </w:p>
    <w:p w14:paraId="32A478E4">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3、支持LED频闪、LED爆闪、白光气体爆闪及红外气体爆闪四种补光方式，可通过远程控制切换；</w:t>
      </w:r>
    </w:p>
    <w:p w14:paraId="5636705B">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4、气体光源回电时间小于67ms，支持超速连拍；</w:t>
      </w:r>
    </w:p>
    <w:p w14:paraId="1F492FF8">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5、触发信号异常时，爆闪灯进入自动保护，触发信号输入正常，爆闪灯自动恢复正常；</w:t>
      </w:r>
    </w:p>
    <w:p w14:paraId="31E42CD9">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6、1路RS485接口、1路气体脉冲爆闪输入接口，一路光源切换接口，1路频闪输入接口、1路LED爆闪输入接口；</w:t>
      </w:r>
    </w:p>
    <w:p w14:paraId="18C25DB1">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7、眩光阀值增量TI≤1.08%；</w:t>
      </w:r>
    </w:p>
    <w:p w14:paraId="1023F49B">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8、支持通过RS485或RJ45接口远程调节光敏阈值，阈值多级可调。支持光敏阈值根据环境光照度自动适应调节。支持自适应亮灯，自适应熄灯；</w:t>
      </w:r>
    </w:p>
    <w:p w14:paraId="78C64E5E">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★9、支持补光灯与摄像机自适应同步；（投标时提供符合GAT1202-2022标准的国家权威机构检测报告原件扫描件加盖投标人公章）</w:t>
      </w:r>
    </w:p>
    <w:p w14:paraId="0ADEAD9A">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★10、符合GA/T1202-2022《交通技术监控成像补光装置通用技术条件》。（投标时须提供公安部权威机构检测报告原件扫描件证明并加盖投标单位公章）</w:t>
      </w:r>
    </w:p>
    <w:p w14:paraId="14998F66">
      <w:pPr>
        <w:keepNext w:val="0"/>
        <w:keepLines w:val="0"/>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textAlignment w:val="auto"/>
        <w:outlineLvl w:val="2"/>
        <w:rPr>
          <w:rFonts w:hint="eastAsia" w:ascii="宋体" w:hAnsi="宋体" w:eastAsia="宋体" w:cs="宋体"/>
          <w:b/>
          <w:bCs/>
          <w:color w:val="auto"/>
          <w:kern w:val="2"/>
          <w:sz w:val="24"/>
          <w:szCs w:val="24"/>
          <w:lang w:val="en-US" w:eastAsia="zh-CN" w:bidi="ar-SA"/>
        </w:rPr>
      </w:pPr>
      <w:bookmarkStart w:id="209" w:name="_Toc30925"/>
      <w:r>
        <w:rPr>
          <w:rFonts w:hint="eastAsia" w:ascii="宋体" w:hAnsi="宋体" w:eastAsia="宋体" w:cs="宋体"/>
          <w:b/>
          <w:bCs/>
          <w:color w:val="auto"/>
          <w:kern w:val="2"/>
          <w:sz w:val="24"/>
          <w:szCs w:val="24"/>
          <w:lang w:val="en-US" w:eastAsia="zh-CN" w:bidi="ar-SA"/>
        </w:rPr>
        <w:t>3.4.3</w:t>
      </w:r>
      <w:bookmarkEnd w:id="209"/>
      <w:r>
        <w:rPr>
          <w:rFonts w:hint="eastAsia" w:ascii="宋体" w:hAnsi="宋体" w:eastAsia="宋体" w:cs="宋体"/>
          <w:b/>
          <w:bCs/>
          <w:color w:val="auto"/>
          <w:kern w:val="2"/>
          <w:sz w:val="24"/>
          <w:szCs w:val="24"/>
          <w:lang w:val="en-US" w:eastAsia="zh-CN" w:bidi="ar-SA"/>
        </w:rPr>
        <w:t>前端处理终端</w:t>
      </w:r>
    </w:p>
    <w:p w14:paraId="1A9E3CC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1、支持12路IPC接入，支持新国标电警；</w:t>
      </w:r>
    </w:p>
    <w:p w14:paraId="5E8A634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2、支持区间测速功能；</w:t>
      </w:r>
    </w:p>
    <w:p w14:paraId="0B53A63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3、设备具有18个10M/100M/1000M自适应RJ45接口、2个1000MSFP光口；</w:t>
      </w:r>
    </w:p>
    <w:p w14:paraId="724D8E1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4、可设置图片的存储空间，在规定的空间内自动循环覆盖，剩余空间为录像存储空间；</w:t>
      </w:r>
    </w:p>
    <w:p w14:paraId="4454088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★5、对于在记录过程中出现的系统死机或意外故障，设备能够在规定的时间内自动恢复其正常工作状态并使故障前的信息不丢失；（提供具有CMA标识的国家权威机构检测报告原件扫描件证明并加盖投标人公章）</w:t>
      </w:r>
    </w:p>
    <w:p w14:paraId="5075E15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6、设备内的录像、图片文件无法直接删除或者修改，只能通过循环覆盖和硬盘格式化操作；</w:t>
      </w:r>
    </w:p>
    <w:p w14:paraId="321AD41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支持数据直存，可将视频流直接写入存储；采用自动分段记录格式时，相邻两段间最大记录间隔时间应≤0.4s；对于记录在存储介质上的视(音)频信息，取出的存储介质应能在同型号的其他设备上正常回放，以保证设备发生故障后记录资料的留存(或复制)；</w:t>
      </w:r>
    </w:p>
    <w:p w14:paraId="2A3EC79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支持违章图片合成。图片合成方式（合成顺序、特写位置）可设；支持按通道分别设置合成图片的大小，且特写图及其大小可选择设置；支持匹配前端卡口和电警的车牌号，合成抓拍车头和车尾的图片，实现违章与卡口合成，合成方式四合一、六合一可选；支持将2张、3张、4张图片合成为一张图片;（提供具有CMA标识的国家权威机构检测报告原件扫描件证明并加盖投标人公章）</w:t>
      </w:r>
    </w:p>
    <w:p w14:paraId="1992F0B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9、设备内的录像、图片文件无法直接删除或者修改，只能通过循环覆盖和硬盘格式化操作；</w:t>
      </w:r>
    </w:p>
    <w:p w14:paraId="7476724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设备具有不少于2个RS-232接口、2个RS-485接口、1个USB3.0接口、2路报警输入接口、2路报警输出接口、1个音频输入接口、1个音频输出接口、4个SATA接口、4个状态指示灯、1个接地端子、1个复位按键、1个GPS天线接口、1个4G全网通天线接口；</w:t>
      </w:r>
    </w:p>
    <w:p w14:paraId="5326819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11、最多可添加12路IP摄像机(单路码率10M)，进行录像与图片的实时预览和存储并可将IP摄像机的视频图像通过网络传输至客户端；</w:t>
      </w:r>
    </w:p>
    <w:p w14:paraId="11EA00E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12、支持4块3.5或2.5英寸硬盘接入，最大兼容6TB硬盘，设备至少内置1块4T硬盘；</w:t>
      </w:r>
    </w:p>
    <w:p w14:paraId="3FD2440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13、可显示系统已运行时间、主板温度、终端运行状态；</w:t>
      </w:r>
    </w:p>
    <w:p w14:paraId="23465FF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14、可通过USB外接存储介质进行数据备份，备份数据类型、存储目录及文件命名可配置；</w:t>
      </w:r>
    </w:p>
    <w:p w14:paraId="2A1FD8B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15、支持对视频进行质量诊断并输出报警信息；</w:t>
      </w:r>
    </w:p>
    <w:p w14:paraId="4FFF959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16、可通过长按复位键恢复系统的出厂默认参数；</w:t>
      </w:r>
    </w:p>
    <w:p w14:paraId="5810FC5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17、工作温度-40℃～70℃、工作湿度10%～90%；</w:t>
      </w:r>
    </w:p>
    <w:p w14:paraId="653E42C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18、为保证卡口抓拍系统运行稳定性，所投终端服务器设备需与卡口抓拍单元相匹配，满足实际应用效果。</w:t>
      </w:r>
    </w:p>
    <w:p w14:paraId="4938F565">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0" w:name="_Toc6381"/>
      <w:r>
        <w:rPr>
          <w:rFonts w:hint="eastAsia" w:ascii="宋体" w:hAnsi="宋体" w:eastAsia="宋体" w:cs="宋体"/>
          <w:b/>
          <w:bCs/>
          <w:color w:val="auto"/>
          <w:kern w:val="2"/>
          <w:sz w:val="24"/>
          <w:szCs w:val="24"/>
          <w:lang w:val="en-US" w:eastAsia="zh-CN" w:bidi="ar-SA"/>
        </w:rPr>
        <w:t>3.4.4抱杆机箱</w:t>
      </w:r>
      <w:bookmarkEnd w:id="210"/>
    </w:p>
    <w:p w14:paraId="69AABE2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体规格尺寸：：高530*宽400*深250MM，板材厚度≥1.2MM；柜体采用防晒、隔热顶盖；采取导流槽、胶垫等密封措施，防止雨雪、水和萤虫进入柜体内部。外壳密封性能符合 GB/T 4208 的规定，柜门采用静音轴承合叶铰链。柜体电源接线端子与机柜之间的绝缘电阻在正常状态下不小于 100MΩ，在 20℃相对湿度 5%RH～95%RH 状态下不小于 2MΩ。西安门需要做加强筋固定，保证箱体的防撬、防盗，机箱内部设计强弱电分离线槽，确保线路安全。</w:t>
      </w:r>
    </w:p>
    <w:p w14:paraId="42620D8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子式自动重合闸保护器；额定电流；10-16A可选；漏流动作电流；30mA；漏电不动作电流；15mA漏流动作时间：≤0.1s合闸前具有检测功能。具备过流短路保护、欠压/过压保护、漏电保护、故障记忆、合闸前检测、自动重控制功能。</w:t>
      </w:r>
    </w:p>
    <w:p w14:paraId="287F58F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外壳防护等级符合IP65；工作温度-55°~ +85°设备可正常工作；设备具有盐雾告警功能且通过盐雾检测，盐雾环境：浓度：（5±0.1)%,温度：（35±2）℃；喷雾时间：每隔45min喷雾15min,共96h；盐雾沉降量：1.0ml/h.80cm²-2.0ml/h.80cm²，试验后样板表面无黄斑且不生锈。</w:t>
      </w:r>
    </w:p>
    <w:p w14:paraId="3A4FBA0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箱体具备交流 220V 电源防雷和网络接口防雷两种防雷功能，标配 1 路交流电源防雷器交流电源防雷：Uc:385VAC 、In:20kA、Imax:40kA、Up: ≤1.7KV；内置1个32A空开，不少于5个五口国标插座，一个温控风扇。 </w:t>
      </w:r>
    </w:p>
    <w:p w14:paraId="1C08BBA1">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1" w:name="_Toc3971"/>
      <w:r>
        <w:rPr>
          <w:rFonts w:hint="eastAsia" w:ascii="宋体" w:hAnsi="宋体" w:eastAsia="宋体" w:cs="宋体"/>
          <w:b/>
          <w:bCs/>
          <w:color w:val="auto"/>
          <w:kern w:val="2"/>
          <w:sz w:val="24"/>
          <w:szCs w:val="24"/>
          <w:lang w:val="en-US" w:eastAsia="zh-CN" w:bidi="ar-SA"/>
        </w:rPr>
        <w:t>3.4.5 400W球机</w:t>
      </w:r>
      <w:bookmarkEnd w:id="211"/>
    </w:p>
    <w:p w14:paraId="72C069C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★具有不小于1/2.8"靶面尺寸，视频输出分辨率不小于2560×1440。（提供公安部权威机构检测报告原件扫描件证明并加盖投标人公章）</w:t>
      </w:r>
    </w:p>
    <w:p w14:paraId="4EA9915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支持采用H.265、H.264视频编码标准。</w:t>
      </w:r>
    </w:p>
    <w:p w14:paraId="537334D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支持不小于23倍光学变焦，焦距不小4.8 mm~110 mm。</w:t>
      </w:r>
    </w:p>
    <w:p w14:paraId="47775F7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最低照度可达彩色0.0002Lux，黑白0.0001Lux。</w:t>
      </w:r>
    </w:p>
    <w:p w14:paraId="55BFFA3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支持水平手控速度不小于160°/S，垂直速度不小于120°/S，云台定位精度小于等于0.1°。</w:t>
      </w:r>
    </w:p>
    <w:p w14:paraId="3D124ED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水平旋转范围为360°连续旋转，垂直旋转范围为-15°~90°。</w:t>
      </w:r>
    </w:p>
    <w:p w14:paraId="174CE38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支持300个预置位，可按照所设置的预置位完成不小于8条巡航路径，支持不小于4条模式路径设置，支持预置位视频冻结功能；可实现RS485接口优先或RJ45网络接口优先控制功能。</w:t>
      </w:r>
    </w:p>
    <w:p w14:paraId="2D044FC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信噪比≥63dB，网络延时不大于100ms。</w:t>
      </w:r>
    </w:p>
    <w:p w14:paraId="687DD79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动态范围不小于106dB，照度适应范围不小于138dB，宽动态能力综合得分不小于135。</w:t>
      </w:r>
    </w:p>
    <w:p w14:paraId="2E33148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具备较强的网络自适应能力，在丢包率为20%的网络环境下，仍可正常显示监视画面。</w:t>
      </w:r>
    </w:p>
    <w:p w14:paraId="17E8679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支持智能红外、透雾、强光抑制、电子防抖、数字降噪、防红外过曝功能</w:t>
      </w:r>
    </w:p>
    <w:p w14:paraId="5111465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支持区域遮盖功能，支持设置不少于24个不规则四边形区域，可设置不同颜色；支持3D定位、断电记忆功能；支持IP地址访问控制功能，支持定时抓图或报警联动抓图上传ftp功能。</w:t>
      </w:r>
    </w:p>
    <w:p w14:paraId="1A708A3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支持SD卡热插拔，最大支持512GB。</w:t>
      </w:r>
    </w:p>
    <w:p w14:paraId="0524BF2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支持不低于IP67，8kV防浪涌。</w:t>
      </w:r>
    </w:p>
    <w:p w14:paraId="2D57AE2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支持35114 A级加密；</w:t>
      </w:r>
    </w:p>
    <w:p w14:paraId="3770A86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工作温度范围可达-45℃-70℃。</w:t>
      </w:r>
    </w:p>
    <w:p w14:paraId="546828C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2" w:name="_Toc31766"/>
      <w:r>
        <w:rPr>
          <w:rFonts w:hint="eastAsia" w:ascii="宋体" w:hAnsi="宋体" w:eastAsia="宋体" w:cs="宋体"/>
          <w:b/>
          <w:bCs/>
          <w:color w:val="auto"/>
          <w:kern w:val="2"/>
          <w:sz w:val="24"/>
          <w:szCs w:val="24"/>
          <w:lang w:val="en-US" w:eastAsia="zh-CN" w:bidi="ar-SA"/>
        </w:rPr>
        <w:t>3.4.6支路哨兵</w:t>
      </w:r>
      <w:bookmarkEnd w:id="212"/>
    </w:p>
    <w:p w14:paraId="457A30F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预警采用一体化设计，模块组成包括一体化、LED显示屏、语音提示器、雷达、爆闪灯。</w:t>
      </w:r>
    </w:p>
    <w:p w14:paraId="03E222D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产品尺寸：3000mm（高度）*400mm（宽度）*450mm（厚度，含帽檐）</w:t>
      </w:r>
    </w:p>
    <w:p w14:paraId="37AB72C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功率：≤200W、电压范围：AC220V±20%</w:t>
      </w:r>
    </w:p>
    <w:p w14:paraId="46B1A8B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详细技术规格：</w:t>
      </w:r>
    </w:p>
    <w:p w14:paraId="66FBBF3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多目标雷达行人检测：检测纵向&gt;50米，&gt;128个目标进行检测，跟踪区域内所有行人的行驶轨迹，真实量化还原路 况状态，提供精准的存在检测</w:t>
      </w:r>
    </w:p>
    <w:p w14:paraId="26DD299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检测器支持静态和动态排队长度检测功能，可通过上位机软件输出排队长度、队首队尾车辆位置、排队车辆数，可根据需求设置动态排队条件参数值。 </w:t>
      </w:r>
    </w:p>
    <w:p w14:paraId="7D0E38B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检测器可检测经过各车道虚拟线圈上经过的车辆的存在信息，可通过上位机软件显示车辆进入时的驶入信号、车辆离开时的驶离信号，车辆处于静止状态时可持续稳定保持存在信号。支持静态目标、来向逆行、去向逆行、范围屏蔽、目标合并跟踪、排队等算法开启和关闭；                                                  防护等级达到IP67</w:t>
      </w:r>
    </w:p>
    <w:p w14:paraId="4CC12E4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2、LED显示屏：</w:t>
      </w:r>
    </w:p>
    <w:p w14:paraId="746C8E1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支持通用显示及人工诱导显示两种发布模式，通过网络远程实时控制内容显示及预存内容显示，在通讯断开后显示预存内容；</w:t>
      </w:r>
    </w:p>
    <w:p w14:paraId="66AE487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可通过控制中心软件进行节目编辑，可编辑显示警示标语、指路标志、宣传语等，在手动、特勤等特殊控制模式下不出现乱码及不同步现象；</w:t>
      </w:r>
    </w:p>
    <w:p w14:paraId="2603D33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中心管理系统对路口可进行节目管理，系统后台服务可对路口节目进行轮询，实现特殊情况下的交通诱导控制。</w:t>
      </w:r>
    </w:p>
    <w:p w14:paraId="109E34B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控制接口：RS485接口+网络接口（可接入中心管理平台）</w:t>
      </w:r>
    </w:p>
    <w:p w14:paraId="45917BC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模组全户外SMT贴片封装，2R1G1B,静态恒流驱动方式；</w:t>
      </w:r>
    </w:p>
    <w:p w14:paraId="25FB4DC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平均寿命：≥100000小时。象素点间距误差≤ 0.5mm，不平整度≤ 1mm；</w:t>
      </w:r>
    </w:p>
    <w:p w14:paraId="7FCB9EB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显示单元具有防腐、防锈、防水、防尘的功能，防护等级不低于IP55标准。</w:t>
      </w:r>
    </w:p>
    <w:p w14:paraId="4D81257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最大功率小于300W每平方米，功率因数大于0.9。</w:t>
      </w:r>
    </w:p>
    <w:p w14:paraId="06755EF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在额定电流时的法向发光强度：不小于单色 5000cd/m2。</w:t>
      </w:r>
    </w:p>
    <w:p w14:paraId="707FDAD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显示屏的对地漏电流应不超过3.5mA。</w:t>
      </w:r>
    </w:p>
    <w:p w14:paraId="6C5EADE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3、语音提示器：</w:t>
      </w:r>
    </w:p>
    <w:p w14:paraId="302EFE1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功率：15W MAX</w:t>
      </w:r>
    </w:p>
    <w:p w14:paraId="2900564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播报内容：可定制  </w:t>
      </w:r>
    </w:p>
    <w:p w14:paraId="62DC098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工作时间：可修改</w:t>
      </w:r>
    </w:p>
    <w:p w14:paraId="3C082F2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4、爆闪灯：</w:t>
      </w:r>
    </w:p>
    <w:p w14:paraId="728EE65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红蓝爆闪模块2块</w:t>
      </w:r>
    </w:p>
    <w:p w14:paraId="45203212">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3" w:name="_Toc1484"/>
      <w:r>
        <w:rPr>
          <w:rFonts w:hint="eastAsia" w:ascii="宋体" w:hAnsi="宋体" w:eastAsia="宋体" w:cs="宋体"/>
          <w:b/>
          <w:bCs/>
          <w:color w:val="auto"/>
          <w:kern w:val="2"/>
          <w:sz w:val="24"/>
          <w:szCs w:val="24"/>
          <w:lang w:val="en-US" w:eastAsia="zh-CN" w:bidi="ar-SA"/>
        </w:rPr>
        <w:t>3.4.7满屏灯</w:t>
      </w:r>
      <w:bookmarkEnd w:id="213"/>
    </w:p>
    <w:p w14:paraId="5ABDF12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1、产品概述</w:t>
      </w:r>
    </w:p>
    <w:p w14:paraId="276BF12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p>
    <w:p w14:paraId="2F91E9C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2、产品特性</w:t>
      </w:r>
    </w:p>
    <w:p w14:paraId="59329FB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.灯芯尺寸：392mm，三联体</w:t>
      </w:r>
    </w:p>
    <w:p w14:paraId="2991849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.外壳材料：ABS&amp;PC合金塑料</w:t>
      </w:r>
    </w:p>
    <w:p w14:paraId="0A2E103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.透明玻璃面罩：高透光率，阻燃，防紫外线</w:t>
      </w:r>
    </w:p>
    <w:p w14:paraId="2906128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.单灯发光强度：红灯≥697cd           </w:t>
      </w:r>
    </w:p>
    <w:p w14:paraId="683D59A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                黄灯≥613cd        </w:t>
      </w:r>
    </w:p>
    <w:p w14:paraId="5C745ED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                绿灯≥701cd </w:t>
      </w:r>
    </w:p>
    <w:p w14:paraId="61090DF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.LED光强：红色≥6000mcd</w:t>
      </w:r>
    </w:p>
    <w:p w14:paraId="61C66D4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黄色≥6000mcd</w:t>
      </w:r>
    </w:p>
    <w:p w14:paraId="5D7E348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绿色≥10000mcd</w:t>
      </w:r>
    </w:p>
    <w:p w14:paraId="232B1D0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.LED波长：红623±2nm；黄592±2nm；绿502±2nm</w:t>
      </w:r>
    </w:p>
    <w:p w14:paraId="0A7ECB0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.单灯功率：红、黄、绿均≤14W </w:t>
      </w:r>
    </w:p>
    <w:p w14:paraId="319B737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.以250g±0.5g的钢球从40cm的有效高度自由跌落，落点位于处于工作状态的信号灯面罩的中央。试验后，试样面罩不得碎裂，封接处不得有开裂等缺陷。</w:t>
      </w:r>
    </w:p>
    <w:p w14:paraId="15841B0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夜间降光功能：以调幅或调相方式降低信号灯供电电源电压，当电压有效值不大于150V时，信号灯应能正常工作，发光单元基准轴上的发光强度应不小于150cd且不大于250cd，亮度应不小于1500cd/m2且不大于2500cd/m2。</w:t>
      </w:r>
    </w:p>
    <w:p w14:paraId="4844A44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3、性能指标</w:t>
      </w:r>
    </w:p>
    <w:p w14:paraId="0EA020D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1)工作电压：AC220V±20%</w:t>
      </w:r>
    </w:p>
    <w:p w14:paraId="56A4BCC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2）工作频率：50Hz±2Hz</w:t>
      </w:r>
    </w:p>
    <w:p w14:paraId="6392415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3）功率因数：≥0.91</w:t>
      </w:r>
    </w:p>
    <w:p w14:paraId="4D02DE6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4）启动瞬间电流：≤1.2A</w:t>
      </w:r>
    </w:p>
    <w:p w14:paraId="0B16573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5）启动响应时间：＜10ms</w:t>
      </w:r>
    </w:p>
    <w:p w14:paraId="782B6AA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6）关闭响应时间：＜85ms</w:t>
      </w:r>
    </w:p>
    <w:p w14:paraId="2ACBCF8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7）绝缘电阻：≥500MΩ</w:t>
      </w:r>
    </w:p>
    <w:p w14:paraId="7FE15AF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8)介电强度：耐压1440VAC</w:t>
      </w:r>
    </w:p>
    <w:p w14:paraId="79F8FF2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9)泄露电流：≤0.059mA</w:t>
      </w:r>
    </w:p>
    <w:p w14:paraId="2DE5FF9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10)接地电阻：≤0.1Ω</w:t>
      </w:r>
    </w:p>
    <w:p w14:paraId="16D8B09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11)电源类型：恒压电源</w:t>
      </w:r>
    </w:p>
    <w:p w14:paraId="3B402C8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12)LED电路形式：恒流驱动，单颗LED最大电流＜18mA</w:t>
      </w:r>
    </w:p>
    <w:p w14:paraId="7CD9997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13)工作温度：-40℃～+80℃</w:t>
      </w:r>
    </w:p>
    <w:p w14:paraId="705C0AD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14)湿热性能：温度为40℃时，空气相对湿度≤95％±2％</w:t>
      </w:r>
    </w:p>
    <w:p w14:paraId="2A44DAF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15）外壳防护等级：IP55</w:t>
      </w:r>
    </w:p>
    <w:p w14:paraId="3A77524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16）整灯寿命：超过10年</w:t>
      </w:r>
    </w:p>
    <w:p w14:paraId="1ED4058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17）抗振动、抗风压：＞145km/h</w:t>
      </w:r>
    </w:p>
    <w:p w14:paraId="158F357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18).执行标准：GB 14887-2011《道路交通信号灯》</w:t>
      </w:r>
    </w:p>
    <w:p w14:paraId="2123B2D9">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4" w:name="_Toc30987"/>
      <w:r>
        <w:rPr>
          <w:rFonts w:hint="eastAsia" w:ascii="宋体" w:hAnsi="宋体" w:eastAsia="宋体" w:cs="宋体"/>
          <w:b/>
          <w:bCs/>
          <w:color w:val="auto"/>
          <w:kern w:val="2"/>
          <w:sz w:val="24"/>
          <w:szCs w:val="24"/>
          <w:lang w:val="en-US" w:eastAsia="zh-CN" w:bidi="ar-SA"/>
        </w:rPr>
        <w:t>3.4.8人行横道灯</w:t>
      </w:r>
      <w:bookmarkEnd w:id="214"/>
    </w:p>
    <w:p w14:paraId="10A826F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1、产品概述</w:t>
      </w:r>
    </w:p>
    <w:p w14:paraId="2DED085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每套信号灯由静态红色人、静态绿色人两个几何单元合并组成，灯体外壳颜色为黑色，底壳、前门盖、透光片及密封圈表面平滑,无缺料、开裂、银丝、变形和毛刺等缺陷，表面有牢固的防锈、防腐蚀层。前门盖和底壳采用蝴蝶扣式连接方式，方便徒手开启和关闭。产品通过公安部交通安全产品质量监督检验中心检测，符合中华人民共和国GB 14887-2011标准，供货时出具有效期内的检测报告。</w:t>
      </w:r>
    </w:p>
    <w:p w14:paraId="4AF5365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2、产品特性</w:t>
      </w:r>
    </w:p>
    <w:p w14:paraId="283CB52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1）.灯芯尺寸：300mm，两联体</w:t>
      </w:r>
    </w:p>
    <w:p w14:paraId="78EB55F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2）.外壳材料：铝镁合金/ABS合金塑料</w:t>
      </w:r>
    </w:p>
    <w:p w14:paraId="3A0E656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3）.透明玻璃面罩：高透光率，阻燃，防紫外线</w:t>
      </w:r>
    </w:p>
    <w:p w14:paraId="65D3746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4）.单灯发光强度：红灯≥280cd                  </w:t>
      </w:r>
      <w:r>
        <w:rPr>
          <w:rFonts w:hint="eastAsia" w:ascii="宋体" w:hAnsi="宋体" w:eastAsia="宋体" w:cs="宋体"/>
          <w:color w:val="auto"/>
          <w:kern w:val="2"/>
          <w:sz w:val="24"/>
          <w:szCs w:val="24"/>
          <w:lang w:val="en-US" w:eastAsia="zh-CN"/>
        </w:rPr>
        <w:br w:type="textWrapping"/>
      </w:r>
      <w:r>
        <w:rPr>
          <w:rFonts w:hint="eastAsia" w:ascii="宋体" w:hAnsi="宋体" w:eastAsia="宋体" w:cs="宋体"/>
          <w:color w:val="auto"/>
          <w:kern w:val="2"/>
          <w:sz w:val="24"/>
          <w:szCs w:val="24"/>
          <w:lang w:val="en-US" w:eastAsia="zh-CN"/>
        </w:rPr>
        <w:t xml:space="preserve">                      绿灯≥314cd </w:t>
      </w:r>
    </w:p>
    <w:p w14:paraId="662C687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5）.LED光强：红色≥6000mcd</w:t>
      </w:r>
      <w:r>
        <w:rPr>
          <w:rFonts w:hint="eastAsia" w:ascii="宋体" w:hAnsi="宋体" w:eastAsia="宋体" w:cs="宋体"/>
          <w:color w:val="auto"/>
          <w:kern w:val="2"/>
          <w:sz w:val="24"/>
          <w:szCs w:val="24"/>
          <w:lang w:val="en-US" w:eastAsia="zh-CN"/>
        </w:rPr>
        <w:br w:type="textWrapping"/>
      </w:r>
      <w:r>
        <w:rPr>
          <w:rFonts w:hint="eastAsia" w:ascii="宋体" w:hAnsi="宋体" w:eastAsia="宋体" w:cs="宋体"/>
          <w:color w:val="auto"/>
          <w:kern w:val="2"/>
          <w:sz w:val="24"/>
          <w:szCs w:val="24"/>
          <w:lang w:val="en-US" w:eastAsia="zh-CN"/>
        </w:rPr>
        <w:t xml:space="preserve">                  绿色≥10000mcd</w:t>
      </w:r>
    </w:p>
    <w:p w14:paraId="7400761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6）.LED波长：红623±2nm；绿502±2nm</w:t>
      </w:r>
    </w:p>
    <w:p w14:paraId="62B9557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7）.单灯功率：红、绿均≤9W</w:t>
      </w:r>
    </w:p>
    <w:p w14:paraId="5039C00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8）.以250g±0.5g的钢球从40cm的有效高度自由跌落，落点位于处于工作状态的信号灯面罩的中央。试验后，试样面罩不得碎裂，封接处不得有开裂等缺陷。</w:t>
      </w:r>
    </w:p>
    <w:p w14:paraId="383F9B6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3、性能指标</w:t>
      </w:r>
    </w:p>
    <w:p w14:paraId="1140D34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1）.工作电压：AC220V±20%</w:t>
      </w:r>
    </w:p>
    <w:p w14:paraId="6E772BD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2）.工作频率：50Hz±2Hz</w:t>
      </w:r>
    </w:p>
    <w:p w14:paraId="506CBB6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3）.功率因数：≥0.9</w:t>
      </w:r>
    </w:p>
    <w:p w14:paraId="6A5602C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4）.启动瞬间电流：≤1.2A</w:t>
      </w:r>
    </w:p>
    <w:p w14:paraId="68C1CB2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5）.启动响应时间：＜5ms</w:t>
      </w:r>
    </w:p>
    <w:p w14:paraId="2EEE1C4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6）.关闭响应时间：＜75ms</w:t>
      </w:r>
    </w:p>
    <w:p w14:paraId="5FCDDEC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7）.绝缘电阻：≥500MΩ</w:t>
      </w:r>
    </w:p>
    <w:p w14:paraId="5A96BA7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8）.介电强度：耐压1440VAC</w:t>
      </w:r>
    </w:p>
    <w:p w14:paraId="0C83C5E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9）.泄露电流：≤0.05mA</w:t>
      </w:r>
    </w:p>
    <w:p w14:paraId="62A27FB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10）.接地电阻：≤0.1Ω</w:t>
      </w:r>
    </w:p>
    <w:p w14:paraId="32F7FCF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11）.电源类型：恒压电源</w:t>
      </w:r>
    </w:p>
    <w:p w14:paraId="24F8797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12）.LED电路形式：恒流驱动，单颗LED最大电流＜18mA</w:t>
      </w:r>
    </w:p>
    <w:p w14:paraId="64F1AB6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13）.工作温度：-40℃～+80℃</w:t>
      </w:r>
    </w:p>
    <w:p w14:paraId="3D28238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14）.湿热性能：温度为40℃时，空气相对湿度≤95％±2％</w:t>
      </w:r>
    </w:p>
    <w:p w14:paraId="26B7375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15）.外壳防护等级：IP55</w:t>
      </w:r>
    </w:p>
    <w:p w14:paraId="64CDB89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16）.整灯寿命：超过10年</w:t>
      </w:r>
    </w:p>
    <w:p w14:paraId="6A937A5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17）.抗振动、抗风压：＞145km/h</w:t>
      </w:r>
    </w:p>
    <w:p w14:paraId="07945D6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18）.执行标准：GB 14887-2011《道路交通信号灯》</w:t>
      </w:r>
    </w:p>
    <w:p w14:paraId="4A46B983">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5" w:name="_Toc12829"/>
      <w:r>
        <w:rPr>
          <w:rFonts w:hint="eastAsia" w:ascii="宋体" w:hAnsi="宋体" w:eastAsia="宋体" w:cs="宋体"/>
          <w:b/>
          <w:bCs/>
          <w:color w:val="auto"/>
          <w:kern w:val="2"/>
          <w:sz w:val="24"/>
          <w:szCs w:val="24"/>
          <w:lang w:val="en-US" w:eastAsia="zh-CN" w:bidi="ar-SA"/>
        </w:rPr>
        <w:t>3.4.9交换机（8口）</w:t>
      </w:r>
      <w:bookmarkEnd w:id="215"/>
    </w:p>
    <w:p w14:paraId="1D6CF91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至少具备8个千兆电口, 支持12~55V DC供电；</w:t>
      </w:r>
    </w:p>
    <w:p w14:paraId="194DBC1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抗震抗摔压铸铝合金外壳，耐腐蚀耐氧化永不生锈，防护等级不低于IP40, 具备IP40防护等级认证报告；</w:t>
      </w:r>
    </w:p>
    <w:p w14:paraId="467582A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采用防松动螺丝紧固式端子式电源接头；</w:t>
      </w:r>
    </w:p>
    <w:p w14:paraId="5676F26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背板带宽不小于24Gbps，适用于需要高流量低延时业务；</w:t>
      </w:r>
    </w:p>
    <w:p w14:paraId="27F6B20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 xml:space="preserve">运行温度：-40度到75度； </w:t>
      </w:r>
    </w:p>
    <w:p w14:paraId="736FA9C1">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6" w:name="_Toc17064"/>
      <w:r>
        <w:rPr>
          <w:rFonts w:hint="eastAsia" w:ascii="宋体" w:hAnsi="宋体" w:eastAsia="宋体" w:cs="宋体"/>
          <w:b/>
          <w:bCs/>
          <w:color w:val="auto"/>
          <w:kern w:val="2"/>
          <w:sz w:val="24"/>
          <w:szCs w:val="24"/>
          <w:lang w:val="en-US" w:eastAsia="zh-CN" w:bidi="ar-SA"/>
        </w:rPr>
        <w:t>3.4.10落地机柜</w:t>
      </w:r>
      <w:bookmarkEnd w:id="216"/>
    </w:p>
    <w:p w14:paraId="6A2D088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p>
    <w:p w14:paraId="26260C3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电子式自动重合闸保护器；额定电流32A；漏流动作电流；30mA；漏电不动作电流；15mA漏流动作时间：≤0.1s合闸前具有检测功能。具备过流短路保护、欠压/过压保护、漏电保护、故障记忆、合闸前检测、自动重控制功能。</w:t>
      </w:r>
    </w:p>
    <w:p w14:paraId="297629C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外壳防护等级符合IP65；工作温度-55°~ +85°设备可正常工作；设备具有盐雾告警功能且通过盐雾检测，盐雾环境：浓度：（5±0.1)%,温度：（35±2）℃；喷雾时间：每隔45min喷雾15min,共96h；盐雾沉降量：1.0ml/h.80cm²-2.0ml/h.80cm²，试验后样板表面无黄斑且不生锈。</w:t>
      </w:r>
    </w:p>
    <w:p w14:paraId="37ECEEC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箱体具备交流 220V 电源防雷和网络接口防雷两种防雷功能，标配 1 路交流电源防雷器交流电源防雷：Uc:385VAC 、In:20kA、Imax:40kA、Up: ≤1.7KV；</w:t>
      </w:r>
    </w:p>
    <w:p w14:paraId="311EE3C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配装1个63A空开、4个32A空开、2个温控风扇、不少于10个5口国标插座、1个电源引入防雷模块，可根据实际情况增加配置，满足使用需求；箱体侧面需要配置一个直流指示灯，电源异常时能清晰辨别市电故障。</w:t>
      </w:r>
    </w:p>
    <w:p w14:paraId="12B2C789">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7" w:name="_Toc16689"/>
      <w:r>
        <w:rPr>
          <w:rFonts w:hint="eastAsia" w:ascii="宋体" w:hAnsi="宋体" w:eastAsia="宋体" w:cs="宋体"/>
          <w:b/>
          <w:bCs/>
          <w:color w:val="auto"/>
          <w:kern w:val="2"/>
          <w:sz w:val="24"/>
          <w:szCs w:val="24"/>
          <w:lang w:val="en-US" w:eastAsia="zh-CN" w:bidi="ar-SA"/>
        </w:rPr>
        <w:t>3.4.11横向减速</w:t>
      </w:r>
      <w:bookmarkEnd w:id="217"/>
      <w:r>
        <w:rPr>
          <w:rFonts w:hint="eastAsia" w:ascii="宋体" w:hAnsi="宋体" w:eastAsia="宋体" w:cs="宋体"/>
          <w:b/>
          <w:bCs/>
          <w:color w:val="auto"/>
          <w:kern w:val="2"/>
          <w:sz w:val="24"/>
          <w:szCs w:val="24"/>
          <w:lang w:val="en-US" w:eastAsia="zh-CN" w:bidi="ar-SA"/>
        </w:rPr>
        <w:t>震荡线</w:t>
      </w:r>
    </w:p>
    <w:p w14:paraId="6E40F3E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rPr>
        <w:t>施划规格:5、4、3、2，即第1道5根，第2道4根，第3道3根，第4道2根，线宽0.3m，长</w:t>
      </w:r>
      <w:r>
        <w:rPr>
          <w:rFonts w:hint="eastAsia" w:ascii="宋体" w:hAnsi="宋体" w:eastAsia="宋体" w:cs="宋体"/>
          <w:color w:val="auto"/>
          <w:kern w:val="2"/>
          <w:sz w:val="24"/>
          <w:szCs w:val="24"/>
          <w:lang w:val="en-US" w:eastAsia="zh-CN"/>
        </w:rPr>
        <w:t>10</w:t>
      </w:r>
      <w:r>
        <w:rPr>
          <w:rFonts w:hint="eastAsia" w:ascii="宋体" w:hAnsi="宋体" w:eastAsia="宋体" w:cs="宋体"/>
          <w:color w:val="auto"/>
          <w:kern w:val="2"/>
          <w:sz w:val="24"/>
          <w:szCs w:val="24"/>
        </w:rPr>
        <w:t>m(</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个车道)</w:t>
      </w:r>
      <w:r>
        <w:rPr>
          <w:rFonts w:hint="eastAsia" w:ascii="宋体" w:hAnsi="宋体" w:eastAsia="宋体" w:cs="宋体"/>
          <w:color w:val="auto"/>
          <w:kern w:val="2"/>
          <w:sz w:val="24"/>
          <w:szCs w:val="24"/>
          <w:lang w:eastAsia="zh-CN"/>
        </w:rPr>
        <w:t>。</w:t>
      </w:r>
    </w:p>
    <w:p w14:paraId="7639BEA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横向减速震荡线厚度要求：1、需满足《道路交通标志和标线 第3部分：道路交通标线(GB 5768.3-2025)规范， 基底热熔漆厚度不低于2mm，突起部分热熔漆厚度不低于5mm。</w:t>
      </w:r>
    </w:p>
    <w:p w14:paraId="6A5596D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2、标线涂料必须符合 《路面标线涂料》（JT/T 280） 行业标准，玻璃珠需符合 《路面标线用玻璃珠》（GB/T 24722） 国家标准。</w:t>
      </w:r>
    </w:p>
    <w:p w14:paraId="05B1C29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 其他性能要求：抗滑性能：抗滑值不小于45 BPN；逆反射系数：反光亮度不低于 150 mcd·m⁻²·lx⁻¹。</w:t>
      </w:r>
    </w:p>
    <w:p w14:paraId="502B024C">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18" w:name="_Toc19144"/>
      <w:r>
        <w:rPr>
          <w:rFonts w:hint="eastAsia" w:ascii="宋体" w:hAnsi="宋体" w:eastAsia="宋体" w:cs="宋体"/>
          <w:b/>
          <w:bCs/>
          <w:color w:val="auto"/>
          <w:kern w:val="2"/>
          <w:sz w:val="24"/>
          <w:szCs w:val="24"/>
          <w:lang w:val="en-US" w:eastAsia="zh-CN" w:bidi="ar-SA"/>
        </w:rPr>
        <w:t>3.4.12标线施划</w:t>
      </w:r>
      <w:bookmarkEnd w:id="218"/>
    </w:p>
    <w:p w14:paraId="0873313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“公交优先”，每字1.5m*2.5*4字=15m2;</w:t>
      </w:r>
    </w:p>
    <w:p w14:paraId="1A5DE28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网格线: 高20m，底4m，40 m2;</w:t>
      </w:r>
    </w:p>
    <w:p w14:paraId="42E21DF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加直行箭头:2 m2;</w:t>
      </w:r>
    </w:p>
    <w:p w14:paraId="230C63D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加”载客汽车”和时间段:1.5 </w:t>
      </w:r>
      <w:bookmarkStart w:id="219" w:name="OLE_LINK2"/>
      <w:r>
        <w:rPr>
          <w:rFonts w:hint="eastAsia" w:ascii="宋体" w:hAnsi="宋体" w:eastAsia="宋体" w:cs="宋体"/>
          <w:color w:val="auto"/>
          <w:kern w:val="2"/>
          <w:sz w:val="24"/>
          <w:szCs w:val="24"/>
        </w:rPr>
        <w:t>m2</w:t>
      </w:r>
      <w:bookmarkEnd w:id="219"/>
      <w:r>
        <w:rPr>
          <w:rFonts w:hint="eastAsia" w:ascii="宋体" w:hAnsi="宋体" w:eastAsia="宋体" w:cs="宋体"/>
          <w:color w:val="auto"/>
          <w:kern w:val="2"/>
          <w:sz w:val="24"/>
          <w:szCs w:val="24"/>
        </w:rPr>
        <w:t>;</w:t>
      </w:r>
    </w:p>
    <w:p w14:paraId="47D6F02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具体样式施工前需与甲方确认，热熔，厚度4mm-7mm</w:t>
      </w:r>
    </w:p>
    <w:p w14:paraId="2383AB30">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3.4.13违停球</w:t>
      </w:r>
    </w:p>
    <w:p w14:paraId="47D46F25">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1、摄像机靶面尺寸≥1/1.8英寸、分辨率≥2688x1520，内置GPU芯片及8GBeMMC芯片，内置不少于12颗补光灯，内置镜头，支持不小于40倍光学变倍，镜头最大焦距不小于240mm；</w:t>
      </w:r>
    </w:p>
    <w:p w14:paraId="01E6AC3C">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2、支持最低照度可达彩色0.0002Lx，黑白0.0001Lx；</w:t>
      </w:r>
    </w:p>
    <w:p w14:paraId="54F5E3AD">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3、水平旋转范围:0°~360°连续旋转，垂直旋转范围:-20°~90°；</w:t>
      </w:r>
    </w:p>
    <w:p w14:paraId="1B3B4F10">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4、可通过IE浏览器将视频编码格式设置为H.265、H.264、MJPEG、smart265；</w:t>
      </w:r>
    </w:p>
    <w:p w14:paraId="17DBB247">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5、支持对距离设备250m处机动车违法停车行为进行抓拍；</w:t>
      </w:r>
    </w:p>
    <w:p w14:paraId="3B8EBB68">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6、可对机动车违停、逆行、压线、连续变道、机占非、掉头、蛇形变道、变道、加塞9种交通违法行为进行检测并抓拍，当触发报警后，可联动报警并上传图片；</w:t>
      </w:r>
    </w:p>
    <w:p w14:paraId="6C99562E">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7、样机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p>
    <w:p w14:paraId="7C1D0F86">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8、设备检测到违停车辆时，若目标车牌被遮挡物遮挡时，设备可不对该目标进行车牌识别，并上报无车牌报警；</w:t>
      </w:r>
    </w:p>
    <w:p w14:paraId="46E62413">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9、设备可在智能展示界面显示通过监视画面中的机动车子品牌标志，显示车尾子品牌标志不少于3117种；显示车头子品牌标志不少于7129种；</w:t>
      </w:r>
    </w:p>
    <w:p w14:paraId="2B2106C8">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10、设备在配置违停检测时，具有布防车牌颜色和布防车型配置选项；</w:t>
      </w:r>
    </w:p>
    <w:p w14:paraId="01542B5A">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11、设备可识别92式民用车、左右军车、一行结构的新武警车、黄色双行尾牌、使馆车、领馆汽车、警车、04式新军车、新能源车牌、绿色1325农用车、民航车牌；</w:t>
      </w:r>
    </w:p>
    <w:p w14:paraId="4E14494D">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12、设备可显示通过监视画面中的机动车车辆特征,包括:SUV、MPV、轿车、面包车、皮卡、小货车、货车、客车；可识别通过监视画面中的机动车车型；</w:t>
      </w:r>
    </w:p>
    <w:p w14:paraId="6EC803A2">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13、设备具有VR全景图拼接功能，拼接图可选择柱状全景图和鱼眼全景图2种模式，生成的柱状全景图分辨率为8192x2446，鱼眼全景图分辨率为3458x3458；</w:t>
      </w:r>
    </w:p>
    <w:p w14:paraId="4D573D09">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14、设备具有VR展示功能，可在客户端软件展示生成的全景图和实时视频，全景图可与实时视频联动，可通过点击;全景图使实时画面转动至点击位置；</w:t>
      </w:r>
    </w:p>
    <w:p w14:paraId="350B9DBE">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15、设备可对抛洒物事件中的树影、标线进行过滤；可对停车事件中的施工车辆进行过滤;可对行人事件中的交通设施、车身部件、影子进行过滤；</w:t>
      </w:r>
    </w:p>
    <w:p w14:paraId="05E6C426">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16、设备自带雨刷,可通过网络远程控制雨刷功能检验雨刷开启、关闭；</w:t>
      </w:r>
    </w:p>
    <w:p w14:paraId="09C62CBA">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17、设备支持GB35114A级安全加密；</w:t>
      </w:r>
    </w:p>
    <w:p w14:paraId="353FDA14">
      <w:pPr>
        <w:pageBreakBefore w:val="0"/>
        <w:kinsoku/>
        <w:wordWrap/>
        <w:overflowPunct/>
        <w:topLinePunct w:val="0"/>
        <w:autoSpaceDE/>
        <w:autoSpaceDN/>
        <w:bidi w:val="0"/>
        <w:spacing w:line="440" w:lineRule="exact"/>
        <w:ind w:firstLine="480" w:firstLineChars="200"/>
        <w:jc w:val="left"/>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18、采用DC36V供电；</w:t>
      </w:r>
    </w:p>
    <w:p w14:paraId="29AB285A">
      <w:pPr>
        <w:pageBreakBefore w:val="0"/>
        <w:kinsoku/>
        <w:wordWrap/>
        <w:overflowPunct/>
        <w:topLinePunct w:val="0"/>
        <w:autoSpaceDE/>
        <w:autoSpaceDN/>
        <w:bidi w:val="0"/>
        <w:spacing w:line="440" w:lineRule="exact"/>
        <w:ind w:firstLine="480" w:firstLineChars="200"/>
        <w:jc w:val="left"/>
        <w:rPr>
          <w:rFonts w:hint="default" w:ascii="宋体" w:hAnsi="宋体" w:eastAsia="宋体" w:cs="宋体"/>
          <w:color w:val="auto"/>
          <w:kern w:val="2"/>
          <w:sz w:val="24"/>
          <w:szCs w:val="24"/>
          <w:lang w:val="en-US" w:eastAsia="zh-CN"/>
        </w:rPr>
      </w:pPr>
      <w:r>
        <w:rPr>
          <w:rFonts w:hint="eastAsia" w:ascii="Times New Roman" w:hAnsi="Times New Roman" w:eastAsia="宋体" w:cs="Times New Roman"/>
          <w:kern w:val="2"/>
          <w:sz w:val="24"/>
          <w:szCs w:val="24"/>
          <w:lang w:val="en-US" w:eastAsia="zh-CN" w:bidi="ar-SA"/>
        </w:rPr>
        <w:t>19、防护：IP67；符合GB/T17626.5认证标准。</w:t>
      </w:r>
    </w:p>
    <w:p w14:paraId="13A1E9C5">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220" w:name="_Toc7514"/>
      <w:r>
        <w:rPr>
          <w:rFonts w:hint="eastAsia" w:ascii="宋体" w:hAnsi="宋体" w:eastAsia="宋体" w:cs="宋体"/>
          <w:b/>
          <w:bCs/>
          <w:color w:val="auto"/>
          <w:kern w:val="2"/>
          <w:sz w:val="24"/>
          <w:szCs w:val="24"/>
          <w:lang w:val="en-US" w:eastAsia="zh-CN" w:bidi="ar-SA"/>
        </w:rPr>
        <w:t>3.5外场设备通信、供电方案</w:t>
      </w:r>
      <w:bookmarkEnd w:id="220"/>
    </w:p>
    <w:p w14:paraId="108CF8FC">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21" w:name="_Toc6863"/>
      <w:bookmarkStart w:id="222" w:name="_Toc91064132"/>
      <w:bookmarkStart w:id="223" w:name="_Toc110456650"/>
      <w:r>
        <w:rPr>
          <w:rFonts w:hint="eastAsia" w:ascii="宋体" w:hAnsi="宋体" w:eastAsia="宋体" w:cs="宋体"/>
          <w:b/>
          <w:bCs/>
          <w:color w:val="auto"/>
          <w:kern w:val="2"/>
          <w:sz w:val="24"/>
          <w:szCs w:val="24"/>
          <w:lang w:val="en-US" w:eastAsia="zh-CN" w:bidi="ar-SA"/>
        </w:rPr>
        <w:t>3.5.1外场设备通信接入方案</w:t>
      </w:r>
      <w:bookmarkEnd w:id="221"/>
      <w:bookmarkEnd w:id="222"/>
      <w:bookmarkEnd w:id="223"/>
    </w:p>
    <w:p w14:paraId="63BBFB2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（1）设备与百兆以太网交换机间距离超过80m，需要增加网络连接器或采用光缆传输。</w:t>
      </w:r>
    </w:p>
    <w:p w14:paraId="7856F2A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（2）采用基于TCP/IP通信协议的支持，在上层按照应用要求建立多通道的直接通信。</w:t>
      </w:r>
    </w:p>
    <w:p w14:paraId="1A35560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bookmarkStart w:id="224" w:name="_Toc306878075"/>
      <w:bookmarkStart w:id="225" w:name="_Toc346744508"/>
      <w:r>
        <w:rPr>
          <w:rFonts w:hint="eastAsia" w:ascii="宋体" w:hAnsi="宋体" w:eastAsia="宋体" w:cs="宋体"/>
          <w:color w:val="auto"/>
          <w:kern w:val="2"/>
          <w:sz w:val="24"/>
          <w:szCs w:val="24"/>
        </w:rPr>
        <w:t>（3）本工程前端设备与控制中心网络接入采用原有网络或租赁运营商光缆方式接入控制中心。</w:t>
      </w:r>
    </w:p>
    <w:p w14:paraId="4304CC5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（4）本工程前端设备的接口标准需与交警支队现有平台接口标准保持一致，无缝接入。</w:t>
      </w:r>
    </w:p>
    <w:p w14:paraId="19D8FAF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（5）保证数据安全稳定传输（包含所有传输设备）</w:t>
      </w:r>
    </w:p>
    <w:p w14:paraId="23C332AC">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26" w:name="_Toc91064133"/>
      <w:bookmarkStart w:id="227" w:name="_Toc520671483"/>
      <w:bookmarkStart w:id="228" w:name="_Toc14689"/>
      <w:bookmarkStart w:id="229" w:name="_Toc110456651"/>
      <w:bookmarkStart w:id="230" w:name="_Toc520563385"/>
      <w:r>
        <w:rPr>
          <w:rFonts w:hint="eastAsia" w:ascii="宋体" w:hAnsi="宋体" w:eastAsia="宋体" w:cs="宋体"/>
          <w:b/>
          <w:bCs/>
          <w:color w:val="auto"/>
          <w:kern w:val="2"/>
          <w:sz w:val="24"/>
          <w:szCs w:val="24"/>
          <w:lang w:val="en-US" w:eastAsia="zh-CN" w:bidi="ar-SA"/>
        </w:rPr>
        <w:t>3.5.2外场设备远程通信光缆</w:t>
      </w:r>
      <w:bookmarkEnd w:id="224"/>
      <w:bookmarkEnd w:id="225"/>
      <w:bookmarkEnd w:id="226"/>
      <w:bookmarkEnd w:id="227"/>
      <w:bookmarkEnd w:id="228"/>
      <w:bookmarkEnd w:id="229"/>
      <w:bookmarkEnd w:id="230"/>
    </w:p>
    <w:p w14:paraId="52E3857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本工程通信网络利用原有通信网络，保证数据安全稳定传输。</w:t>
      </w:r>
    </w:p>
    <w:p w14:paraId="4E8E3F1A">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31" w:name="_Toc91064134"/>
      <w:bookmarkStart w:id="232" w:name="_Toc30091"/>
      <w:bookmarkStart w:id="233" w:name="_Toc110456652"/>
      <w:bookmarkStart w:id="234" w:name="_Toc45198492"/>
      <w:r>
        <w:rPr>
          <w:rFonts w:hint="eastAsia" w:ascii="宋体" w:hAnsi="宋体" w:eastAsia="宋体" w:cs="宋体"/>
          <w:b/>
          <w:bCs/>
          <w:color w:val="auto"/>
          <w:kern w:val="2"/>
          <w:sz w:val="24"/>
          <w:szCs w:val="24"/>
          <w:lang w:val="en-US" w:eastAsia="zh-CN" w:bidi="ar-SA"/>
        </w:rPr>
        <w:t>3.5.3外场设备供电方案</w:t>
      </w:r>
      <w:bookmarkEnd w:id="231"/>
      <w:bookmarkEnd w:id="232"/>
      <w:bookmarkEnd w:id="233"/>
      <w:bookmarkEnd w:id="234"/>
    </w:p>
    <w:p w14:paraId="037D75F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本工程前端设备用电采用就近取电原则，由民用变电箱引出（需向供电部门申请），或与附近工厂、商铺、居民协商借用，安装计量表按期付费，其中取电位置下桩头至本项目前端设备的电缆配线由本工程实施。</w:t>
      </w:r>
    </w:p>
    <w:p w14:paraId="66925F4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本工程中，交通监控设备的用电负荷为三级负荷。</w:t>
      </w:r>
    </w:p>
    <w:p w14:paraId="6A2B182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235" w:name="_Toc9049"/>
      <w:r>
        <w:rPr>
          <w:rFonts w:hint="eastAsia" w:ascii="宋体" w:hAnsi="宋体" w:eastAsia="宋体" w:cs="宋体"/>
          <w:b/>
          <w:bCs/>
          <w:color w:val="auto"/>
          <w:kern w:val="2"/>
          <w:sz w:val="24"/>
          <w:szCs w:val="24"/>
          <w:lang w:val="en-US" w:eastAsia="zh-CN" w:bidi="ar-SA"/>
        </w:rPr>
        <w:t>3.6基础配套工程</w:t>
      </w:r>
      <w:bookmarkEnd w:id="235"/>
    </w:p>
    <w:p w14:paraId="0313CD41">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36" w:name="_Toc110456654"/>
      <w:bookmarkStart w:id="237" w:name="_Toc426148471"/>
      <w:bookmarkStart w:id="238" w:name="_Toc91064136"/>
      <w:bookmarkStart w:id="239" w:name="_Toc423897279"/>
      <w:bookmarkStart w:id="240" w:name="_Toc427834223"/>
      <w:bookmarkStart w:id="241" w:name="_Toc448153452"/>
      <w:bookmarkStart w:id="242" w:name="_Toc45198494"/>
      <w:bookmarkStart w:id="243" w:name="_Toc13631"/>
      <w:bookmarkStart w:id="244" w:name="_Toc520563388"/>
      <w:bookmarkStart w:id="245" w:name="_Toc520671486"/>
      <w:bookmarkStart w:id="246" w:name="_Toc449453938"/>
      <w:r>
        <w:rPr>
          <w:rFonts w:hint="eastAsia" w:ascii="宋体" w:hAnsi="宋体" w:eastAsia="宋体" w:cs="宋体"/>
          <w:b/>
          <w:bCs/>
          <w:color w:val="auto"/>
          <w:kern w:val="2"/>
          <w:sz w:val="24"/>
          <w:szCs w:val="24"/>
          <w:lang w:val="en-US" w:eastAsia="zh-CN" w:bidi="ar-SA"/>
        </w:rPr>
        <w:t>3.6.1管道工程设计</w:t>
      </w:r>
      <w:bookmarkEnd w:id="236"/>
      <w:bookmarkEnd w:id="237"/>
      <w:bookmarkEnd w:id="238"/>
      <w:bookmarkEnd w:id="239"/>
      <w:bookmarkEnd w:id="240"/>
      <w:bookmarkEnd w:id="241"/>
      <w:bookmarkEnd w:id="242"/>
      <w:bookmarkEnd w:id="243"/>
      <w:bookmarkEnd w:id="244"/>
      <w:bookmarkEnd w:id="245"/>
      <w:bookmarkEnd w:id="246"/>
    </w:p>
    <w:p w14:paraId="70AB48E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p>
    <w:p w14:paraId="229E729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进行施工放样前先校核施工图纸，按施工图纸提供的路线及位置，定出管道线路走向。认真详细做好记录，必要时应附示意图方便资料的整理。</w:t>
      </w:r>
    </w:p>
    <w:p w14:paraId="382E261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施工中沥青和水泥混凝路面采取横平竖直开挖，人行道按沿砖缝线开挖，路面恢复后应平整、不积水，并保持施工完后路面的完整。</w:t>
      </w:r>
    </w:p>
    <w:p w14:paraId="2C993B2A">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（1）、沥青路面挖掘及恢复施工：</w:t>
      </w:r>
    </w:p>
    <w:p w14:paraId="694BCA1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1）现场打围后，严格按照设计施工图进行测量放线；</w:t>
      </w:r>
    </w:p>
    <w:p w14:paraId="3B9980A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2）现场复核后按照放线位置进行路面切割，保证切割的直顺度，人工破除路面及基层；</w:t>
      </w:r>
    </w:p>
    <w:p w14:paraId="4579A1D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3）为避免道路恢复后路面下沉，管道沟槽开挖后形成V形沟槽,搭肩宽度为 100 mm。</w:t>
      </w:r>
    </w:p>
    <w:p w14:paraId="71C1DF3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4）沥青路面开挖宽度为600mm，沟槽总深度为 800mm。</w:t>
      </w:r>
    </w:p>
    <w:p w14:paraId="1C5B111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5）沟底土基土质较差时应换尽不良土，沟底土须碾压密实后敷设管道，要求土基回弹模量 Eo≥35Mpa，压实度要求≥95%。</w:t>
      </w:r>
    </w:p>
    <w:p w14:paraId="2D4BD8B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6）管道敷设后采用最终强度可达 80～90Mpa 的（快干、早强）C25 混凝土浇灌至离路面100 mm 位置。</w:t>
      </w:r>
    </w:p>
    <w:p w14:paraId="0C38399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7）C25 混凝土至离路面 100 mm 位置采用热沥青罩面，用压实机具进行夯实。为保证沥青路面恢复质量，沥青路面恢复由指定专业道路管护单位统一安排施工。</w:t>
      </w:r>
    </w:p>
    <w:p w14:paraId="3E17EC42">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（2）、水泥混凝土路面挖掘及恢复施工：</w:t>
      </w:r>
    </w:p>
    <w:p w14:paraId="7030992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1）现场打围后，严格按照设计施工图进行测量放线；</w:t>
      </w:r>
    </w:p>
    <w:p w14:paraId="71C6EF4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2）现场复核后按照放线位置进行路面切割，保证切割的直顺度，人工破除路面及基层；</w:t>
      </w:r>
    </w:p>
    <w:p w14:paraId="5AF85C3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3）为避免道路恢复后路面下沉，管道沟槽开挖后形成V形沟槽,搭肩宽度为100 mm。</w:t>
      </w:r>
    </w:p>
    <w:p w14:paraId="018C068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4）为减少对水泥路面的伤害，开挖沟槽应尽量选择伸缩缝作为一边开挖线。</w:t>
      </w:r>
    </w:p>
    <w:p w14:paraId="6D1E43D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5）水泥混凝土路面开挖宽度600mm，沟槽总深度为800mm。</w:t>
      </w:r>
    </w:p>
    <w:p w14:paraId="7411B35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6）沟底土基土质较差时应换尽不良土，沟底土须碾压密实后敷设管道，要求土基回弹模量 Eo≥35Mpa，压实度要求≥95%。</w:t>
      </w:r>
    </w:p>
    <w:p w14:paraId="6EAD467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7）管道敷设后采用最终强度可达80～90Mpa 的（快干、早强）C25 混凝土浇灌至原路面位置。</w:t>
      </w:r>
    </w:p>
    <w:p w14:paraId="3912C6B7">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（3）、人行道路面挖掘及恢复施工：</w:t>
      </w:r>
    </w:p>
    <w:p w14:paraId="25DEEB6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1）现场打围后，严格按照设计施工图进行测量放线；</w:t>
      </w:r>
    </w:p>
    <w:p w14:paraId="38D63C6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2）现场复核后按照放线位置进行路面切割，保证切割的直顺度，人工破除路面及基层；</w:t>
      </w:r>
    </w:p>
    <w:p w14:paraId="23E52FD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3）为避免道路恢复后路面下沉，管道沟槽开挖后形成V形沟槽。</w:t>
      </w:r>
    </w:p>
    <w:p w14:paraId="5AB1A22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4）人行道路面开挖沟槽应尽量选择花砖缝作为开挖线，应根据花砖宽度调整开挖宽度，开挖宽度不低于400mm，沟槽总深度为 600mm。</w:t>
      </w:r>
    </w:p>
    <w:p w14:paraId="6F242BC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5）沟底土基土质较差时应换尽不良土，沟底土须碾压密实后敷设管道，要求土基回弹模量 Eo≥35Mpa，压实度要求≥95%。</w:t>
      </w:r>
    </w:p>
    <w:p w14:paraId="6B9D36C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6）人行道路恢复选用与原人行道路面相同材料对路面进行恢复，达到与原路面材料颜色花纹协调一致。</w:t>
      </w:r>
    </w:p>
    <w:p w14:paraId="268B4588">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(4)、绿化带管道开挖及恢复：</w:t>
      </w:r>
    </w:p>
    <w:p w14:paraId="19C4787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1)现场打围后，严格按照设计施工图进行测量放线；</w:t>
      </w:r>
    </w:p>
    <w:p w14:paraId="7A9277B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2)现场复核后按照放线位置绿化带的开挖，开挖时注意对管道外的绿化的保护；</w:t>
      </w:r>
    </w:p>
    <w:p w14:paraId="211F2BB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3)绿化带管道开挖宽度为400mm，沟槽总深度为600mm。</w:t>
      </w:r>
    </w:p>
    <w:p w14:paraId="0459DE6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4）沟底土基土质较差时应换尽不良土，沟底土须碾压密实后敷设管道，要求土基回弹模量 Eo≥35Mpa，压实度要求≥95%。</w:t>
      </w:r>
    </w:p>
    <w:p w14:paraId="13B7677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5）管道敷设后将其恢复成原绿化带的标准。</w:t>
      </w:r>
    </w:p>
    <w:p w14:paraId="140C377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p>
    <w:p w14:paraId="3B98CCE1">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47" w:name="_Toc520671489"/>
      <w:bookmarkStart w:id="248" w:name="_Toc9999"/>
      <w:bookmarkStart w:id="249" w:name="_Toc520563391"/>
      <w:bookmarkStart w:id="250" w:name="_Toc91064138"/>
      <w:bookmarkStart w:id="251" w:name="_Toc110456656"/>
      <w:bookmarkStart w:id="252" w:name="_Toc45198497"/>
      <w:bookmarkStart w:id="253" w:name="_Toc426148476"/>
      <w:bookmarkStart w:id="254" w:name="_Toc423897284"/>
      <w:bookmarkStart w:id="255" w:name="_Toc448153457"/>
      <w:bookmarkStart w:id="256" w:name="_Toc427834228"/>
      <w:bookmarkStart w:id="257" w:name="_Toc449453943"/>
      <w:r>
        <w:rPr>
          <w:rFonts w:hint="eastAsia" w:ascii="宋体" w:hAnsi="宋体" w:eastAsia="宋体" w:cs="宋体"/>
          <w:b/>
          <w:bCs/>
          <w:color w:val="auto"/>
          <w:kern w:val="2"/>
          <w:sz w:val="24"/>
          <w:szCs w:val="24"/>
          <w:lang w:val="en-US" w:eastAsia="zh-CN" w:bidi="ar-SA"/>
        </w:rPr>
        <w:t>3.6.2线缆敷设工程设计</w:t>
      </w:r>
      <w:bookmarkEnd w:id="247"/>
      <w:bookmarkEnd w:id="248"/>
      <w:bookmarkEnd w:id="249"/>
      <w:bookmarkEnd w:id="250"/>
      <w:bookmarkEnd w:id="251"/>
      <w:bookmarkEnd w:id="252"/>
    </w:p>
    <w:p w14:paraId="7B47BFF8">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bookmarkStart w:id="258" w:name="_Toc45198498"/>
      <w:bookmarkStart w:id="259" w:name="_Toc520563392"/>
      <w:bookmarkStart w:id="260" w:name="_Toc520671490"/>
      <w:r>
        <w:rPr>
          <w:rFonts w:hint="eastAsia" w:ascii="宋体" w:hAnsi="宋体" w:eastAsia="宋体" w:cs="宋体"/>
          <w:b/>
          <w:color w:val="auto"/>
          <w:kern w:val="2"/>
          <w:sz w:val="24"/>
          <w:szCs w:val="24"/>
        </w:rPr>
        <w:t>供电线缆敷设</w:t>
      </w:r>
      <w:bookmarkEnd w:id="253"/>
      <w:bookmarkEnd w:id="254"/>
      <w:bookmarkEnd w:id="255"/>
      <w:bookmarkEnd w:id="256"/>
      <w:bookmarkEnd w:id="257"/>
      <w:bookmarkEnd w:id="258"/>
      <w:bookmarkEnd w:id="259"/>
      <w:bookmarkEnd w:id="260"/>
    </w:p>
    <w:p w14:paraId="10D047F0">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bookmarkStart w:id="261" w:name="_Toc449453944"/>
      <w:bookmarkStart w:id="262" w:name="_Toc427834229"/>
      <w:bookmarkStart w:id="263" w:name="_Toc520671491"/>
      <w:bookmarkStart w:id="264" w:name="_Toc520563393"/>
      <w:bookmarkStart w:id="265" w:name="_Toc423897285"/>
      <w:bookmarkStart w:id="266" w:name="_Toc448153458"/>
      <w:bookmarkStart w:id="267" w:name="_Toc426148477"/>
      <w:r>
        <w:rPr>
          <w:rFonts w:hint="eastAsia" w:ascii="宋体" w:hAnsi="宋体" w:eastAsia="宋体" w:cs="宋体"/>
          <w:b/>
          <w:color w:val="auto"/>
          <w:kern w:val="2"/>
          <w:sz w:val="24"/>
          <w:szCs w:val="24"/>
        </w:rPr>
        <w:t>一般要求</w:t>
      </w:r>
      <w:bookmarkEnd w:id="261"/>
      <w:bookmarkEnd w:id="262"/>
      <w:bookmarkEnd w:id="263"/>
      <w:bookmarkEnd w:id="264"/>
      <w:bookmarkEnd w:id="265"/>
      <w:bookmarkEnd w:id="266"/>
      <w:bookmarkEnd w:id="267"/>
    </w:p>
    <w:p w14:paraId="088935E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运到现场的电缆及材料均应核对其型号、规格符合设计要求，并有合格证。</w:t>
      </w:r>
    </w:p>
    <w:p w14:paraId="01EC4C1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检查电缆及材料外观无损伤和缺陷。</w:t>
      </w:r>
    </w:p>
    <w:p w14:paraId="70104EB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卸货和搬运作业时，均不得使设备或外来物体接触到电缆表面。</w:t>
      </w:r>
    </w:p>
    <w:p w14:paraId="43657FC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在任何情况下，均不得将电缆盘从所载运的车辆上推到地面上。</w:t>
      </w:r>
    </w:p>
    <w:p w14:paraId="36B22E1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经切割的电缆两端应立即密封，以避免潮气侵入。</w:t>
      </w:r>
    </w:p>
    <w:p w14:paraId="59F8CE5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bookmarkStart w:id="268" w:name="_Toc449453945"/>
      <w:bookmarkStart w:id="269" w:name="_Toc520671492"/>
      <w:bookmarkStart w:id="270" w:name="_Toc520563394"/>
      <w:bookmarkStart w:id="271" w:name="_Toc426148478"/>
      <w:bookmarkStart w:id="272" w:name="_Toc427834230"/>
      <w:bookmarkStart w:id="273" w:name="_Toc448153459"/>
      <w:bookmarkStart w:id="274" w:name="_Toc423897286"/>
      <w:r>
        <w:rPr>
          <w:rFonts w:hint="eastAsia" w:ascii="宋体" w:hAnsi="宋体" w:eastAsia="宋体" w:cs="宋体"/>
          <w:color w:val="auto"/>
          <w:kern w:val="2"/>
          <w:sz w:val="24"/>
          <w:szCs w:val="24"/>
        </w:rPr>
        <w:t>电缆导管敷设</w:t>
      </w:r>
      <w:bookmarkEnd w:id="268"/>
      <w:bookmarkEnd w:id="269"/>
      <w:bookmarkEnd w:id="270"/>
      <w:bookmarkEnd w:id="271"/>
      <w:bookmarkEnd w:id="272"/>
      <w:bookmarkEnd w:id="273"/>
      <w:bookmarkEnd w:id="274"/>
    </w:p>
    <w:p w14:paraId="034AA7E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管口切割以后，内边缘必须锉平。</w:t>
      </w:r>
    </w:p>
    <w:p w14:paraId="4D5A638E">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导线管必须冷弯，弯曲半径符合规范要求。</w:t>
      </w:r>
    </w:p>
    <w:p w14:paraId="67AB8E3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埋地导管在安装预制前，先按施工图确定好路径，安装好的导管要用非木质件固定并随导管一起埋入地坪，导管埋深符合规范要求。</w:t>
      </w:r>
    </w:p>
    <w:p w14:paraId="6CFA007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在地面上敷设的导管要适当地固定在附近的结构或支架上，接线盒的安装要避免雨水进入。</w:t>
      </w:r>
    </w:p>
    <w:p w14:paraId="4EDFAC7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镀锌管锌层剥落处应涂以防腐漆。</w:t>
      </w:r>
    </w:p>
    <w:p w14:paraId="0A8C96AB">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电缆敷设前准备</w:t>
      </w:r>
    </w:p>
    <w:p w14:paraId="5A7C8BC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根据电缆到货长度，敷设长度编制电缆分配表，分列各编号电缆的起点、终点、长度及分配盘号。</w:t>
      </w:r>
    </w:p>
    <w:p w14:paraId="3DB278A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根据现场电缆分布情况和电缆分配表，安排电缆敷设顺序，宜先远后近，先集中后分散。</w:t>
      </w:r>
    </w:p>
    <w:p w14:paraId="0462BCD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电缆敷设前需对每盘电缆进行导通性和绝缘性检查，合格电缆方可敷设，绝缘检查低压电缆用500VM表测试。</w:t>
      </w:r>
    </w:p>
    <w:p w14:paraId="18ED1B8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电缆型号、规格等应符合设计要求，外观良好，保护层无破损。</w:t>
      </w:r>
    </w:p>
    <w:p w14:paraId="7C0C134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电缆槽/托盘安装完，直埋电缆区域无土方开挖，电缆保护管预埋工作已完成，导管中穿好铁丝。</w:t>
      </w:r>
    </w:p>
    <w:p w14:paraId="3711406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设计一个合适的表格，记录每个电缆盘每次提取的电缆数量和剩余的电缆数量。</w:t>
      </w:r>
    </w:p>
    <w:p w14:paraId="24FB7898">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管内穿线</w:t>
      </w:r>
    </w:p>
    <w:p w14:paraId="3DB6F228">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对穿管敷设的绝缘导线，其额定电压不低于 500V。</w:t>
      </w:r>
    </w:p>
    <w:p w14:paraId="4BF85863">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不同回路、不同电压等级的导线，不穿在同一根管内。</w:t>
      </w:r>
    </w:p>
    <w:p w14:paraId="53093DC9">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同类供电的几个回路可穿入同一根管内，但管内导线总数不多于 8 根。</w:t>
      </w:r>
    </w:p>
    <w:p w14:paraId="7BEF8228">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同一交流回路的导线穿于同一钢管内。</w:t>
      </w:r>
    </w:p>
    <w:p w14:paraId="6BD80054">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导线在管内无接头和扭结，接头设在接线盒（箱）内。</w:t>
      </w:r>
    </w:p>
    <w:p w14:paraId="7E1CB260">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管内导线包括绝缘层在内的总截面积不大于管子内空截面积的 40％。</w:t>
      </w:r>
    </w:p>
    <w:p w14:paraId="64CEF636">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接头连接和终端连接</w:t>
      </w:r>
    </w:p>
    <w:p w14:paraId="1DD0ED30">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电力电缆终端头的制作，必须按制造厂提供的详图由熟悉制作工艺的人员进行。</w:t>
      </w:r>
    </w:p>
    <w:p w14:paraId="46BFF7AA">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低压电缆终端头采用绝缘胶带包扎密封。</w:t>
      </w:r>
    </w:p>
    <w:p w14:paraId="2F1C0C36">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电缆在最终连接前，进行导通性和绝缘性测试，中压电缆按 MLD-01-F-60-001 规定做直流耐压试验。</w:t>
      </w:r>
    </w:p>
    <w:p w14:paraId="592DFD8F">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bookmarkStart w:id="275" w:name="_Toc520671493"/>
      <w:bookmarkStart w:id="276" w:name="_Toc423897287"/>
      <w:bookmarkStart w:id="277" w:name="_Toc520563395"/>
      <w:bookmarkStart w:id="278" w:name="_Toc427834231"/>
      <w:bookmarkStart w:id="279" w:name="_Toc448153460"/>
      <w:bookmarkStart w:id="280" w:name="_Toc426148479"/>
      <w:bookmarkStart w:id="281" w:name="_Toc449453946"/>
      <w:bookmarkStart w:id="282" w:name="_Toc45198499"/>
      <w:r>
        <w:rPr>
          <w:rFonts w:hint="eastAsia" w:ascii="宋体" w:hAnsi="宋体" w:eastAsia="宋体" w:cs="宋体"/>
          <w:b/>
          <w:color w:val="auto"/>
          <w:kern w:val="2"/>
          <w:sz w:val="24"/>
          <w:szCs w:val="24"/>
        </w:rPr>
        <w:t>通信线缆敷设</w:t>
      </w:r>
      <w:bookmarkEnd w:id="275"/>
      <w:bookmarkEnd w:id="276"/>
      <w:bookmarkEnd w:id="277"/>
      <w:bookmarkEnd w:id="278"/>
      <w:bookmarkEnd w:id="279"/>
      <w:bookmarkEnd w:id="280"/>
      <w:bookmarkEnd w:id="281"/>
      <w:bookmarkEnd w:id="282"/>
    </w:p>
    <w:p w14:paraId="7C2A6CBA">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（1）光缆将按实际长度铺设，铺设时不超过光缆厂家规定的牵引张力和弯曲半径的要求。在铺设光缆之前，每个管道要用合适的方法清理。</w:t>
      </w:r>
    </w:p>
    <w:p w14:paraId="1DA01025">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（2）光缆在人孔井外十分清洁的环境中接续。光缆接续采用熔接法，光缆接头应配有单独的接头护套。</w:t>
      </w:r>
    </w:p>
    <w:p w14:paraId="1F88DF54">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（3）备有备用光缆并装在光缆接头盒的托盘上，放在托盘上的光纤不应产生微弯曲损耗。每根光缆在1310nm波长的接头损耗不超过0.ldB。</w:t>
      </w:r>
    </w:p>
    <w:p w14:paraId="4CF7D3F2">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（4）在所有光缆需要分歧或分配出与单独终端单元相连的光纤接头应使用接头盒保护；接头盒的设计应易于安装。</w:t>
      </w:r>
    </w:p>
    <w:p w14:paraId="78C27024">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（5）接头盒应为光缆接头提供一个密闭的、防潮的环境。接头盒应能重新进入，以便维修和满足其它工作要求。</w:t>
      </w:r>
    </w:p>
    <w:p w14:paraId="072419A2">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（6）接头牢固地安装在每个人孔中。接头应安装在尽可能高处，以免浸水。</w:t>
      </w:r>
    </w:p>
    <w:p w14:paraId="6AA6F4CF">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（7）每根光缆端接在光缆终端和接线板上，光缆应在每个站端接。接线板的容量足以端接所有室外光纤。进局光缆有标志，以区别其它电缆。</w:t>
      </w:r>
    </w:p>
    <w:p w14:paraId="48E3BE2C">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（8）设备侧的光缆长度应作适当预留，一股为10~20m，可存在光端机室或进线室。进局光缆的弯曲半径不应太小，以免产生微弯曲损耗。</w:t>
      </w:r>
    </w:p>
    <w:p w14:paraId="097A30B9">
      <w:pPr>
        <w:pageBreakBefore w:val="0"/>
        <w:tabs>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光缆接续及测试</w:t>
      </w:r>
    </w:p>
    <w:p w14:paraId="28E9ACE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（1）通信光缆接续工艺流程</w:t>
      </w:r>
    </w:p>
    <w:p w14:paraId="2E28114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1）在接续过程中通过 OTDR 监测，以确保光纤持续质量。</w:t>
      </w:r>
    </w:p>
    <w:p w14:paraId="20E60AA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2）中继段测试采用 OTDR 和介入法两种方法测试。</w:t>
      </w:r>
    </w:p>
    <w:p w14:paraId="691435E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（2）操作要求</w:t>
      </w:r>
    </w:p>
    <w:p w14:paraId="4EF0DDB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1）清理场地、塔置防尘帐篷，准备好工具、材料；</w:t>
      </w:r>
    </w:p>
    <w:p w14:paraId="5A1C4E7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2）切断光缆缆芯，但不得用钢锯，必须用电缆剪刀；</w:t>
      </w:r>
    </w:p>
    <w:p w14:paraId="1B7DA40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3）光缆余留及切割尺寸，弯曲半径等应符合规定；光纤接续操作时，操作人员应穿作业服、戴作业帽、工作手套；</w:t>
      </w:r>
    </w:p>
    <w:p w14:paraId="1326CFA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4）将待接续光纤被覆层擦干净，以免弄脏加强保护热熔管和熔接机后面。接续过程中应特别注意清洁，尤其是环境条件及操作人员的双手；</w:t>
      </w:r>
    </w:p>
    <w:p w14:paraId="1D9DF51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5）用剥除器剥除光纤被覆，用丙酮将裸光纤擦净，用光纤切割器切出端面，端面不合格时需重新切割；</w:t>
      </w:r>
    </w:p>
    <w:p w14:paraId="4086CDF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6）监视光纤熔接测定值及仔细观察接续图像有无缺陷情况，如不合格则重新制备光纤端面，再次接续，直到合格为止；</w:t>
      </w:r>
    </w:p>
    <w:p w14:paraId="184F649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7）接续好的光线从容阶级取出时，注意动作要慢，移动加强保护热熔管位置应适中，收缩后两端应包住光纤的被覆层不小于10mm；</w:t>
      </w:r>
    </w:p>
    <w:p w14:paraId="46AE165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8）光纤收容时注意弯曲半径应不小于40mm；</w:t>
      </w:r>
    </w:p>
    <w:p w14:paraId="02CE2DD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9）接头盒内壁、密封条、槽等应用酒精擦拭干净，组装时应严格按操作规程进行。</w:t>
      </w:r>
    </w:p>
    <w:p w14:paraId="0F657BD8">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83" w:name="_Toc520671494"/>
      <w:bookmarkStart w:id="284" w:name="_Toc11979"/>
      <w:bookmarkStart w:id="285" w:name="_Toc448153461"/>
      <w:bookmarkStart w:id="286" w:name="_Toc110456657"/>
      <w:bookmarkStart w:id="287" w:name="_Toc426148480"/>
      <w:bookmarkStart w:id="288" w:name="_Toc423897288"/>
      <w:bookmarkStart w:id="289" w:name="_Toc449453947"/>
      <w:bookmarkStart w:id="290" w:name="_Toc91064139"/>
      <w:bookmarkStart w:id="291" w:name="_Toc45198500"/>
      <w:bookmarkStart w:id="292" w:name="_Toc520563396"/>
      <w:bookmarkStart w:id="293" w:name="_Toc427834232"/>
      <w:r>
        <w:rPr>
          <w:rFonts w:hint="eastAsia" w:ascii="宋体" w:hAnsi="宋体" w:eastAsia="宋体" w:cs="宋体"/>
          <w:b/>
          <w:bCs/>
          <w:color w:val="auto"/>
          <w:kern w:val="2"/>
          <w:sz w:val="24"/>
          <w:szCs w:val="24"/>
          <w:lang w:val="en-US" w:eastAsia="zh-CN" w:bidi="ar-SA"/>
        </w:rPr>
        <w:t>3.6.3杆件设计</w:t>
      </w:r>
      <w:bookmarkEnd w:id="283"/>
      <w:bookmarkEnd w:id="284"/>
      <w:bookmarkEnd w:id="285"/>
      <w:bookmarkEnd w:id="286"/>
      <w:bookmarkEnd w:id="287"/>
      <w:bookmarkEnd w:id="288"/>
      <w:bookmarkEnd w:id="289"/>
      <w:bookmarkEnd w:id="290"/>
      <w:bookmarkEnd w:id="291"/>
      <w:bookmarkEnd w:id="292"/>
      <w:bookmarkEnd w:id="293"/>
    </w:p>
    <w:p w14:paraId="3AFE6A4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独立立杆式样应充分考虑美观及与周边环境的协调，立杆横臂长度根据安装点位所要实现的功能而定，须符合道路或场所的整体视觉效果，具体式样及颜色须经采购方确认。</w:t>
      </w:r>
    </w:p>
    <w:p w14:paraId="1B69AFA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立杆净高度不低于道路净高要求，立杆横臂根据实际需要确定,立杆应满足如下条件：</w:t>
      </w:r>
    </w:p>
    <w:p w14:paraId="56937F5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底座：采用不低于A3型的钢板。</w:t>
      </w:r>
    </w:p>
    <w:p w14:paraId="5D16FCA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立杆采用Q235钢材，镀层厚度≥60μm，达到双重防锈、防腐的目的。</w:t>
      </w:r>
    </w:p>
    <w:p w14:paraId="46FA05D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立杆施工时，需同步完成接地的安装。</w:t>
      </w:r>
    </w:p>
    <w:p w14:paraId="08B7A24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立杆要求抗风等级达到12级。</w:t>
      </w:r>
    </w:p>
    <w:p w14:paraId="04F3C4B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基础地笼要求：</w:t>
      </w:r>
    </w:p>
    <w:p w14:paraId="65BA1D4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（1）.M18、M20、M22、M24、M26、M28、M30螺纹钢。钢筋采用HRB400；基础混凝土为C25。</w:t>
      </w:r>
    </w:p>
    <w:p w14:paraId="1601C06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（2）钢构件连接板材质应为Q235B，其力学性能和化学成分应符合《碳素结构钢》（GB/T700-2006）的规定。</w:t>
      </w:r>
    </w:p>
    <w:p w14:paraId="5E78BE2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（3）地基承载力特征值不小于120kPa。基础设计时取地基承载力fak=120kPa。基础应坐落于好土层上。若好土层位置较深，则应采取粘土换填，换填至设计标高，换填深度为0.6m，压实系数为0.97。</w:t>
      </w:r>
    </w:p>
    <w:p w14:paraId="3DAC03E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（4）地脚螺栓外露部分及螺母和垫块宜事先进行热浸镀锌处理，镀锌量为350g/m 。</w:t>
      </w:r>
    </w:p>
    <w:p w14:paraId="54B202F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（5）钢结构的安装应按照《GB50205-2001》、《JG144-2016》进行。</w:t>
      </w:r>
    </w:p>
    <w:p w14:paraId="1739F84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（6）基础范围内的上部及周边的回填土应用粘土分层压实回填，压实系数为0.94。</w:t>
      </w:r>
    </w:p>
    <w:p w14:paraId="2813CE4B">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294" w:name="_Toc17664"/>
      <w:bookmarkStart w:id="295" w:name="_Toc423897289"/>
      <w:bookmarkStart w:id="296" w:name="_Toc91064140"/>
      <w:bookmarkStart w:id="297" w:name="_Toc520563397"/>
      <w:bookmarkStart w:id="298" w:name="_Toc426148481"/>
      <w:bookmarkStart w:id="299" w:name="_Toc449453948"/>
      <w:bookmarkStart w:id="300" w:name="_Toc45198501"/>
      <w:bookmarkStart w:id="301" w:name="_Toc448153462"/>
      <w:bookmarkStart w:id="302" w:name="_Toc110456658"/>
      <w:bookmarkStart w:id="303" w:name="_Toc520671495"/>
      <w:bookmarkStart w:id="304" w:name="_Toc427834233"/>
      <w:r>
        <w:rPr>
          <w:rFonts w:hint="eastAsia" w:ascii="宋体" w:hAnsi="宋体" w:eastAsia="宋体" w:cs="宋体"/>
          <w:b/>
          <w:bCs/>
          <w:color w:val="auto"/>
          <w:kern w:val="2"/>
          <w:sz w:val="24"/>
          <w:szCs w:val="24"/>
          <w:lang w:val="en-US" w:eastAsia="zh-CN" w:bidi="ar-SA"/>
        </w:rPr>
        <w:t>3.6.4箱体设计</w:t>
      </w:r>
      <w:bookmarkEnd w:id="294"/>
      <w:bookmarkEnd w:id="295"/>
      <w:bookmarkEnd w:id="296"/>
      <w:bookmarkEnd w:id="297"/>
      <w:bookmarkEnd w:id="298"/>
      <w:bookmarkEnd w:id="299"/>
      <w:bookmarkEnd w:id="300"/>
      <w:bookmarkEnd w:id="301"/>
      <w:bookmarkEnd w:id="302"/>
      <w:bookmarkEnd w:id="303"/>
      <w:bookmarkEnd w:id="304"/>
    </w:p>
    <w:p w14:paraId="6FA2ED6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bookmarkStart w:id="305" w:name="_Toc426148482"/>
      <w:bookmarkStart w:id="306" w:name="_Toc423897290"/>
      <w:bookmarkStart w:id="307" w:name="_Toc449453949"/>
      <w:bookmarkStart w:id="308" w:name="_Toc427834234"/>
      <w:bookmarkStart w:id="309" w:name="_Toc448153463"/>
      <w:r>
        <w:rPr>
          <w:rFonts w:hint="eastAsia" w:ascii="宋体" w:hAnsi="宋体" w:eastAsia="宋体" w:cs="宋体"/>
          <w:color w:val="auto"/>
          <w:kern w:val="2"/>
          <w:sz w:val="24"/>
          <w:szCs w:val="24"/>
        </w:rPr>
        <w:t>（1）机箱内强、弱电应分层隔开，内部各种线缆应固定可靠。</w:t>
      </w:r>
    </w:p>
    <w:p w14:paraId="4E9AD17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p>
    <w:p w14:paraId="0B8A184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（3）地面安装的落地箱柜基础应高出地面(200mm)，以免积水。</w:t>
      </w:r>
    </w:p>
    <w:p w14:paraId="3FEE0D1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（4）进入箱柜内的各类保护管应高出基础底面(100mm)。</w:t>
      </w:r>
    </w:p>
    <w:p w14:paraId="4312E0B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（5）配电箱与设备箱分开设置，尺寸高度与路口信号箱保持一致。</w:t>
      </w:r>
    </w:p>
    <w:p w14:paraId="2A578C1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10" w:name="_Toc110456659"/>
      <w:bookmarkStart w:id="311" w:name="_Toc27473"/>
      <w:bookmarkStart w:id="312" w:name="_Toc520563398"/>
      <w:bookmarkStart w:id="313" w:name="_Toc91064141"/>
      <w:bookmarkStart w:id="314" w:name="_Toc45198502"/>
      <w:bookmarkStart w:id="315" w:name="_Toc520671496"/>
      <w:r>
        <w:rPr>
          <w:rFonts w:hint="eastAsia" w:ascii="宋体" w:hAnsi="宋体" w:eastAsia="宋体" w:cs="宋体"/>
          <w:b/>
          <w:bCs/>
          <w:color w:val="auto"/>
          <w:kern w:val="2"/>
          <w:sz w:val="24"/>
          <w:szCs w:val="24"/>
          <w:lang w:val="en-US" w:eastAsia="zh-CN" w:bidi="ar-SA"/>
        </w:rPr>
        <w:t>3.6.5杆件防雷接地</w:t>
      </w:r>
      <w:bookmarkEnd w:id="305"/>
      <w:bookmarkEnd w:id="306"/>
      <w:bookmarkEnd w:id="307"/>
      <w:bookmarkEnd w:id="308"/>
      <w:bookmarkEnd w:id="309"/>
      <w:bookmarkEnd w:id="310"/>
      <w:bookmarkEnd w:id="311"/>
      <w:bookmarkEnd w:id="312"/>
      <w:bookmarkEnd w:id="313"/>
      <w:bookmarkEnd w:id="314"/>
      <w:bookmarkEnd w:id="315"/>
    </w:p>
    <w:p w14:paraId="6D4F743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设备有要求时应进行工作接地、所有配套的外露金属设施构件都应按照IEC 的有关规定进行综合接地处理，接地电阻必须小于设备规定的工作接地和安全接地电阻，综合接地电阻≤</w:t>
      </w:r>
      <w:r>
        <w:rPr>
          <w:rFonts w:hint="eastAsia" w:ascii="宋体" w:hAnsi="宋体" w:eastAsia="宋体" w:cs="宋体"/>
          <w:color w:val="auto"/>
          <w:kern w:val="2"/>
          <w:sz w:val="24"/>
          <w:szCs w:val="24"/>
          <w:lang w:val="en-US" w:eastAsia="zh-CN"/>
        </w:rPr>
        <w:t>10</w:t>
      </w:r>
      <w:r>
        <w:rPr>
          <w:rFonts w:hint="eastAsia" w:ascii="宋体" w:hAnsi="宋体" w:eastAsia="宋体" w:cs="宋体"/>
          <w:color w:val="auto"/>
          <w:kern w:val="2"/>
          <w:sz w:val="24"/>
          <w:szCs w:val="24"/>
        </w:rPr>
        <w:t>Ω。</w:t>
      </w:r>
    </w:p>
    <w:p w14:paraId="30A54B5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sz w:val="24"/>
          <w:szCs w:val="24"/>
        </w:rPr>
        <w:sectPr>
          <w:headerReference r:id="rId8" w:type="first"/>
          <w:footerReference r:id="rId11" w:type="first"/>
          <w:headerReference r:id="rId6" w:type="default"/>
          <w:footerReference r:id="rId9" w:type="default"/>
          <w:headerReference r:id="rId7" w:type="even"/>
          <w:footerReference r:id="rId10" w:type="even"/>
          <w:pgSz w:w="11906" w:h="16838"/>
          <w:pgMar w:top="1440" w:right="1700" w:bottom="1440" w:left="1797" w:header="851" w:footer="851" w:gutter="0"/>
          <w:pgNumType w:fmt="decimal"/>
          <w:cols w:space="425" w:num="1"/>
          <w:docGrid w:type="lines" w:linePitch="312" w:charSpace="0"/>
        </w:sectPr>
      </w:pPr>
      <w:r>
        <w:rPr>
          <w:rFonts w:hint="eastAsia" w:ascii="宋体" w:hAnsi="宋体" w:eastAsia="宋体" w:cs="宋体"/>
          <w:color w:val="auto"/>
          <w:kern w:val="2"/>
          <w:sz w:val="24"/>
          <w:szCs w:val="24"/>
        </w:rPr>
        <w:t>所有接地极的接地电阻将进行测量；经测量达不到要求时，将在接地极回填土中加入无腐蚀性长效降阻剂；当仍达不到要求时，将经过业主同意，采用更换接地装置的措施。</w:t>
      </w:r>
    </w:p>
    <w:p w14:paraId="0A9D31C6">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jc w:val="left"/>
        <w:outlineLvl w:val="1"/>
        <w:rPr>
          <w:rFonts w:hint="eastAsia" w:ascii="宋体" w:hAnsi="宋体" w:eastAsia="宋体" w:cs="宋体"/>
          <w:b/>
          <w:bCs/>
          <w:color w:val="auto"/>
          <w:kern w:val="2"/>
          <w:sz w:val="24"/>
          <w:szCs w:val="24"/>
          <w:lang w:val="en-US" w:eastAsia="zh-CN" w:bidi="ar-SA"/>
        </w:rPr>
      </w:pPr>
      <w:bookmarkStart w:id="316" w:name="_Toc10751"/>
      <w:bookmarkStart w:id="317" w:name="_Toc15549410"/>
      <w:bookmarkStart w:id="318" w:name="_Toc110456672"/>
      <w:bookmarkStart w:id="319" w:name="_Toc91064154"/>
      <w:bookmarkStart w:id="320" w:name="_Toc65184882"/>
      <w:r>
        <w:rPr>
          <w:rFonts w:hint="eastAsia" w:ascii="宋体" w:hAnsi="宋体" w:eastAsia="宋体" w:cs="宋体"/>
          <w:b/>
          <w:bCs/>
          <w:color w:val="auto"/>
          <w:kern w:val="2"/>
          <w:sz w:val="24"/>
          <w:szCs w:val="24"/>
          <w:lang w:val="en-US" w:eastAsia="zh-CN" w:bidi="ar-SA"/>
        </w:rPr>
        <w:t>3.7项目硬件配置清单</w:t>
      </w:r>
      <w:bookmarkEnd w:id="316"/>
    </w:p>
    <w:p w14:paraId="6FADADA8">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jc w:val="left"/>
        <w:outlineLvl w:val="2"/>
        <w:rPr>
          <w:rFonts w:hint="eastAsia" w:ascii="宋体" w:hAnsi="宋体" w:eastAsia="宋体" w:cs="宋体"/>
          <w:b/>
          <w:bCs/>
          <w:color w:val="auto"/>
          <w:kern w:val="2"/>
          <w:sz w:val="24"/>
          <w:szCs w:val="24"/>
          <w:lang w:val="en-US" w:eastAsia="zh-CN" w:bidi="ar-SA"/>
        </w:rPr>
      </w:pPr>
      <w:bookmarkStart w:id="321" w:name="_Toc21447"/>
      <w:r>
        <w:rPr>
          <w:rFonts w:hint="eastAsia" w:ascii="宋体" w:hAnsi="宋体" w:eastAsia="宋体" w:cs="宋体"/>
          <w:b/>
          <w:bCs/>
          <w:color w:val="auto"/>
          <w:kern w:val="2"/>
          <w:sz w:val="24"/>
          <w:szCs w:val="24"/>
          <w:lang w:val="en-US" w:eastAsia="zh-CN" w:bidi="ar-SA"/>
        </w:rPr>
        <w:t>3.7.1智能化设施建设</w:t>
      </w:r>
      <w:bookmarkEnd w:id="321"/>
    </w:p>
    <w:tbl>
      <w:tblPr>
        <w:tblStyle w:val="3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10"/>
        <w:gridCol w:w="2296"/>
        <w:gridCol w:w="10235"/>
        <w:gridCol w:w="411"/>
        <w:gridCol w:w="411"/>
        <w:gridCol w:w="411"/>
      </w:tblGrid>
      <w:tr w14:paraId="6D459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6"/>
            <w:tcBorders>
              <w:top w:val="nil"/>
              <w:left w:val="nil"/>
              <w:bottom w:val="nil"/>
              <w:right w:val="nil"/>
            </w:tcBorders>
            <w:shd w:val="clear" w:color="auto" w:fill="auto"/>
            <w:noWrap/>
            <w:vAlign w:val="center"/>
          </w:tcPr>
          <w:p w14:paraId="49AF43B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2" w:firstLineChars="200"/>
              <w:jc w:val="left"/>
              <w:textAlignment w:val="center"/>
              <w:rPr>
                <w:rFonts w:hint="default" w:ascii="微软雅黑" w:hAnsi="微软雅黑" w:eastAsia="微软雅黑" w:cs="微软雅黑"/>
                <w:b/>
                <w:bCs/>
                <w:i w:val="0"/>
                <w:iCs w:val="0"/>
                <w:color w:val="000000"/>
                <w:sz w:val="32"/>
                <w:szCs w:val="32"/>
                <w:u w:val="none"/>
              </w:rPr>
            </w:pPr>
            <w:r>
              <w:rPr>
                <w:rFonts w:hint="eastAsia" w:ascii="宋体" w:hAnsi="宋体" w:eastAsia="宋体" w:cs="宋体"/>
                <w:b/>
                <w:bCs/>
                <w:i w:val="0"/>
                <w:iCs w:val="0"/>
                <w:color w:val="auto"/>
                <w:kern w:val="0"/>
                <w:sz w:val="24"/>
                <w:szCs w:val="24"/>
                <w:u w:val="none"/>
                <w:lang w:val="en-US" w:eastAsia="zh-CN" w:bidi="ar"/>
              </w:rPr>
              <w:t>智能化设施建设</w:t>
            </w:r>
          </w:p>
        </w:tc>
      </w:tr>
      <w:tr w14:paraId="3685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46E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序号</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2F33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产品类别</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439C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核心参数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2FB3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单位</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2FE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数量</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874C6">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备注</w:t>
            </w:r>
          </w:p>
        </w:tc>
      </w:tr>
      <w:tr w14:paraId="0AB83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5D79B">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一</w:t>
            </w:r>
          </w:p>
        </w:tc>
        <w:tc>
          <w:tcPr>
            <w:tcW w:w="471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75BE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主要设备部分</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E966F">
            <w:pPr>
              <w:keepNext w:val="0"/>
              <w:keepLines w:val="0"/>
              <w:suppressLineNumbers w:val="0"/>
              <w:spacing w:before="0" w:beforeAutospacing="0" w:after="0" w:afterAutospacing="0"/>
              <w:ind w:left="0" w:right="0"/>
              <w:jc w:val="center"/>
              <w:rPr>
                <w:rFonts w:hint="eastAsia" w:ascii="微软雅黑" w:hAnsi="微软雅黑" w:eastAsia="微软雅黑" w:cs="微软雅黑"/>
                <w:b/>
                <w:bCs/>
                <w:i w:val="0"/>
                <w:iCs w:val="0"/>
                <w:color w:val="000000"/>
                <w:sz w:val="20"/>
                <w:szCs w:val="20"/>
                <w:u w:val="none"/>
              </w:rPr>
            </w:pPr>
          </w:p>
        </w:tc>
      </w:tr>
      <w:tr w14:paraId="0993B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A32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7C9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900万环保卡口相机</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6A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C7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55E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78B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17894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9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FCD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400W球机</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834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49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C0A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2A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A30B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54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FDE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支路哨兵</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0D0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D7F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E7C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DEC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55775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6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B5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高杆灯灯盘</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21E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6个240瓦LED投光灯</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666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F77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6C9D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04E7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726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11E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满屏灯</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5953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36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86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218B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2F68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D5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C1A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人行横道灯</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ABEC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4A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E9C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755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0B25C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2749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DE9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违停球</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A2A6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2A2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B7EB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844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5530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A44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8C2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光纤收发器（对）</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715D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千兆，提供不低于1个1000M自适应电接口和1个FX光接口</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E22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EFE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A18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D036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231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1A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交换机（8口）</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1AC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DAA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62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6AD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07E78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81C1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8E3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四合一环保补光灯</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F9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268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C4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819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66720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9D2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7AB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前端处理终端</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91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F4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016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958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AEB6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034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B4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抱杆机箱</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C89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BBA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57FA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2909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855E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718E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13</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561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落地机柜</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C1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3B5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B2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9EF0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F7A6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5A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2BD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时控开关</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4C06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含4G远程调控功能，（流量卡费用不少于5年）</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270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C15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5F27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65CAC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94A81">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二</w:t>
            </w:r>
          </w:p>
        </w:tc>
        <w:tc>
          <w:tcPr>
            <w:tcW w:w="471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A0EA">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主要材料部分</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6E0D7">
            <w:pPr>
              <w:keepNext w:val="0"/>
              <w:keepLines w:val="0"/>
              <w:suppressLineNumbers w:val="0"/>
              <w:spacing w:before="0" w:beforeAutospacing="0" w:after="0" w:afterAutospacing="0"/>
              <w:ind w:left="0" w:right="0"/>
              <w:jc w:val="center"/>
              <w:rPr>
                <w:rFonts w:hint="eastAsia" w:ascii="微软雅黑" w:hAnsi="微软雅黑" w:eastAsia="微软雅黑" w:cs="微软雅黑"/>
                <w:b/>
                <w:bCs/>
                <w:i w:val="0"/>
                <w:iCs w:val="0"/>
                <w:color w:val="000000"/>
                <w:sz w:val="20"/>
                <w:szCs w:val="20"/>
                <w:u w:val="none"/>
              </w:rPr>
            </w:pPr>
          </w:p>
        </w:tc>
      </w:tr>
      <w:tr w14:paraId="5E4C1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060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5CB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T形杆件7+（14+14）米（含基础、地笼、浇筑）</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12F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八角直径300-370-8mm厚，横臂八角分两节，小头一节直径100-200-5mm厚，大头一节直径200-300-6mm厚，基础法兰直径600-20mm厚，热镀锌后喷塑。做对接，固定法兰直径600-6mm厚，预埋件螺栓对角中心距550mm-8支M30圆钢长1.8米。基坑规格1800*1800-2000mm深。</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B5D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980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28F7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518E0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E0B3C">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FC0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7米挑臂5M杆件（含基础、地笼、浇筑）</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B08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立杆八角直径220-280-5mm厚，横臂八角直径90-180-4mm厚，基础法兰直径500-16mm厚，热镀锌后喷塑，固定法兰直径500-4mm厚，预埋件螺栓对角中心距400mm-8支M24圆钢长1.285米。基坑规格1200*1200-1400mm深。</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48F4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1BC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554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69814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63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607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13米高杆灯（含基础、地笼、浇筑）</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E23A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立杆圆锥直径100-240-6mm厚，基础法兰直径500-20mm厚，热镀锌后喷塑。固定法兰直径500-4mm厚，预埋件螺栓对角中心距400mm-8支M24圆钢长1.5米。基坑规格1600*1600-1800mm深。</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8DE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0C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FA6B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B13E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13D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9E0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4米标牌杆</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801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φ102*5*4000mm镀锌钢管基础：600m*600mm*1000mm</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03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3F9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7E0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33B2B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361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34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5米标牌杆</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EF0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Style w:val="202"/>
                <w:rFonts w:hint="default" w:eastAsia="宋体"/>
                <w:lang w:val="en-US" w:eastAsia="zh-CN" w:bidi="ar"/>
              </w:rPr>
              <w:t>φ</w:t>
            </w:r>
            <w:r>
              <w:rPr>
                <w:rStyle w:val="203"/>
                <w:lang w:val="en-US" w:eastAsia="zh-CN" w:bidi="ar"/>
              </w:rPr>
              <w:t>102*5*</w:t>
            </w:r>
            <w:r>
              <w:rPr>
                <w:rStyle w:val="203"/>
                <w:rFonts w:hint="eastAsia"/>
                <w:lang w:val="en-US" w:eastAsia="zh-CN" w:bidi="ar"/>
              </w:rPr>
              <w:t>5</w:t>
            </w:r>
            <w:r>
              <w:rPr>
                <w:rStyle w:val="203"/>
                <w:lang w:val="en-US" w:eastAsia="zh-CN" w:bidi="ar"/>
              </w:rPr>
              <w:t>000mm</w:t>
            </w:r>
            <w:r>
              <w:rPr>
                <w:rFonts w:hint="eastAsia" w:ascii="宋体" w:hAnsi="宋体" w:eastAsia="宋体" w:cs="宋体"/>
                <w:i w:val="0"/>
                <w:iCs w:val="0"/>
                <w:color w:val="000000"/>
                <w:kern w:val="0"/>
                <w:sz w:val="20"/>
                <w:szCs w:val="20"/>
                <w:u w:val="none"/>
                <w:lang w:val="en-US" w:eastAsia="zh-CN" w:bidi="ar"/>
              </w:rPr>
              <w:t>镀锌钢管</w:t>
            </w:r>
            <w:r>
              <w:rPr>
                <w:rStyle w:val="203"/>
                <w:lang w:val="en-US" w:eastAsia="zh-CN" w:bidi="ar"/>
              </w:rPr>
              <w:t>基础：600m*600mm*1000mm</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429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04C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9A69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A63B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8092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B8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7*3米F型悬臂式测速标志牌杆件（含基础、地笼、浇筑）</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B236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highlight w:val="yellow"/>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立杆直径219-5mm厚，横臂直径114-4mm厚，基础法兰直径450-16mm厚，热镀锌后喷塑处理。固定法兰直径450-4mm厚，预埋件螺栓对角中心距350mm-6支M24圆钢长1.125米。含螺母。</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1C7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4B8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CE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1FA9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E79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21</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290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7*3米L型悬臂式测速标志牌杆件（含基础、地笼、浇筑）</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B63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highlight w:val="none"/>
                <w:u w:val="none"/>
                <w:lang w:val="en-US" w:eastAsia="zh-CN" w:bidi="ar"/>
              </w:rPr>
              <w:t>立杆直径165-4mm厚，横臂直径89-4mm厚，基础法兰直径400-14mm厚，热镀锌后喷塑处理。固定法兰直径400-4mm厚，预埋件螺栓对角中心距300mm-6支M20圆钢长1.125米。含螺母。</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87D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1EC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7CF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7753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3F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E76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U型球机支架</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3B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U型支架，臂厚不小于2mm，热镀锌喷塑。安装接线不许外露，在杆件内穿线接线连接，需符合架设杆件所属部门的相关要求。</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76E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640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19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05E54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9DC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8CB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接地棒及组件含安装测量</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BD4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杆件、箱体等接地含材料，接地阻值不大于10Ω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C06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9A7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325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7A4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EA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4F5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5E1A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国标，纯铜，RVV3×1.0mm²</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95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B888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303</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6045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0FAA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38B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65B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CD2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国标，纯铜，RVV-6*1.0mm²</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767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8B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379</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D1AF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33C3F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C2F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4AF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电源线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EF7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国标，纯铜，RVV-2*6.0mm²</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8D9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7E7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976</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E95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110EA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E040B">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29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电源线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104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国标，纯铜，RVV-2*2.5mm²</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7972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7CB2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D31E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6D382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9E8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15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信号线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78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补光灯、爆闪灯信号线</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03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78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3BC4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873E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67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6E6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六类网线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5BBC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国标，室外，</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236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4EDB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8AF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C9DA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43A61">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F2F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572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国标，室外，</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7F4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CFA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740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355EE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C8E44">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三</w:t>
            </w:r>
          </w:p>
        </w:tc>
        <w:tc>
          <w:tcPr>
            <w:tcW w:w="471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31D0E">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基建部分</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36FD3">
            <w:pPr>
              <w:keepNext w:val="0"/>
              <w:keepLines w:val="0"/>
              <w:suppressLineNumbers w:val="0"/>
              <w:spacing w:before="0" w:beforeAutospacing="0" w:after="0" w:afterAutospacing="0"/>
              <w:ind w:left="0" w:right="0"/>
              <w:jc w:val="center"/>
              <w:rPr>
                <w:rFonts w:hint="eastAsia" w:ascii="微软雅黑" w:hAnsi="微软雅黑" w:eastAsia="微软雅黑" w:cs="微软雅黑"/>
                <w:b/>
                <w:bCs/>
                <w:i w:val="0"/>
                <w:iCs w:val="0"/>
                <w:color w:val="000000"/>
                <w:sz w:val="20"/>
                <w:szCs w:val="20"/>
                <w:u w:val="none"/>
              </w:rPr>
            </w:pPr>
          </w:p>
        </w:tc>
      </w:tr>
      <w:tr w14:paraId="3BEE4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692B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31</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183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落地箱（柜）基座</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3A96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落地箱及信号机基座，按《公安交通管理外场设备基础施工通用要求》实施</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3B0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BD6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7CF4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31BDB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CF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479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砖砌手井（含手井圈、盖）</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52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规格尺寸:500mm*500mm*500mm。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盖板材质、规格:预制钢筋砼盖板。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井盖上印有“公安专用”标志。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754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D3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421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9624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D3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56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过路顶管Φ75</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710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65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CF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EEF8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25FF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98D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AC0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管道沟通2孔Φ50</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D42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A14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BF15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694</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1C75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15050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8E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0FE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绿化恢复及道路恢复</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9C8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恢复现有道路、绿化及青苗费用</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4C5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780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EE45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FAD4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3A0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D6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线缆敷设</w:t>
            </w:r>
          </w:p>
        </w:tc>
        <w:tc>
          <w:tcPr>
            <w:tcW w:w="361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8853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按《公安交通管理外场设备基础施工通用要求》实施</w:t>
            </w:r>
          </w:p>
        </w:tc>
        <w:tc>
          <w:tcPr>
            <w:tcW w:w="1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AFC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米</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1B8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2238</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BA3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7A6A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0FD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C35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横向减速震荡线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90D6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6E22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4B8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378</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D2EA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F6E1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9C0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C8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标线施划</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552E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详见“主要设备技术参数要求”</w:t>
            </w:r>
          </w:p>
        </w:tc>
        <w:tc>
          <w:tcPr>
            <w:tcW w:w="1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22B5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6F3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1521</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EE2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2078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40C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D04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鱼骨线</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5B0D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每组车道两侧施划纵向减速标线，长度不低于100米</w:t>
            </w:r>
          </w:p>
        </w:tc>
        <w:tc>
          <w:tcPr>
            <w:tcW w:w="1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67E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F8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B84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3845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88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1DD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斑马线施划</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2699F">
            <w:pPr>
              <w:keepNext w:val="0"/>
              <w:keepLines w:val="0"/>
              <w:pageBreakBefore w:val="0"/>
              <w:suppressLineNumbers w:val="0"/>
              <w:tabs>
                <w:tab w:val="left" w:pos="0"/>
                <w:tab w:val="left" w:pos="9240"/>
              </w:tabs>
              <w:kinsoku/>
              <w:wordWrap/>
              <w:overflowPunct/>
              <w:topLinePunct w:val="0"/>
              <w:autoSpaceDE/>
              <w:autoSpaceDN/>
              <w:bidi w:val="0"/>
              <w:adjustRightInd/>
              <w:snapToGrid/>
              <w:spacing w:before="0" w:beforeAutospacing="0" w:after="0" w:afterAutospacing="0" w:line="400" w:lineRule="exact"/>
              <w:ind w:left="0" w:right="0" w:firstLine="400" w:firstLineChars="20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按《道路交通标志和标线》实施，热熔，厚度4mm-7mm</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362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62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B2C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B179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7CED">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四</w:t>
            </w:r>
          </w:p>
        </w:tc>
        <w:tc>
          <w:tcPr>
            <w:tcW w:w="471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55249">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其他</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2D8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01671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2D15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41</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4F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光纤租赁</w:t>
            </w:r>
          </w:p>
        </w:tc>
        <w:tc>
          <w:tcPr>
            <w:tcW w:w="3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665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本项目所有建设点位租赁运营商光纤链路，不低于千兆带宽，5年租赁费用。</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E0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640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15</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A06A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159CE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09E5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42</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72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供电开户、安装接入施工</w:t>
            </w:r>
          </w:p>
        </w:tc>
        <w:tc>
          <w:tcPr>
            <w:tcW w:w="361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F17B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根据现场情况自行踏勘确认所有建设点位，需供电开户的数量，含勘查、材料、施工、供电部门验收等所有费用，根据供电部门要求进行实施，电源缆线不低于10平方</w:t>
            </w:r>
          </w:p>
        </w:tc>
        <w:tc>
          <w:tcPr>
            <w:tcW w:w="14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2160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F74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04F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FF1A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673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C95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原杆件移位</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463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含拆除费用并移至甲方指定位置含地笼、混凝土、安装、调试、路面恢复、接入费用</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E7C5">
            <w:pPr>
              <w:keepNext w:val="0"/>
              <w:keepLines w:val="0"/>
              <w:widowControl/>
              <w:suppressLineNumbers w:val="0"/>
              <w:spacing w:before="0" w:beforeAutospacing="0" w:after="0" w:afterAutospacing="0"/>
              <w:ind w:left="0" w:right="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9AA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0D6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620C1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6F9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D5D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前方全程区间测速标牌1300mm*2260mm</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D44A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F9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C09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F430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C970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3BB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65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前方区间测速长度*米标牌1860mm*2260mm</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82D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BF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FF2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9E5F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499C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A2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C09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区间测速起点标牌1300mm*2260mm</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512E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C71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78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CA6E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1173D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D4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7D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区间测速终点标牌1300mm*2260mm</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E58E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D7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nil"/>
              <w:left w:val="nil"/>
              <w:bottom w:val="nil"/>
              <w:right w:val="nil"/>
            </w:tcBorders>
            <w:shd w:val="clear" w:color="auto" w:fill="auto"/>
            <w:noWrap/>
            <w:vAlign w:val="center"/>
          </w:tcPr>
          <w:p w14:paraId="33CC1F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32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19760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15F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5A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限速标志</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B56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FB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22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568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61AE6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5C6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6BD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事故易发路段标牌（含双立柱）1000mm*2000mm</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8B10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铝合金材质，IV类以上反光膜 标牌厚度≥3mm，内容制作前需由交警大队核实，含交通违法监控提示牌等制作、安装及运输等。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50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CDF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1FA0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58411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200F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8B7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路口标志</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4FA0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三角形L=900mm；铝合金材质，Ⅲ类以上反光膜 标牌厚度≥2mm ，按GB57682-2022要求安装</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ED8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7C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8072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6CF68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1B2AF">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51</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B00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监控抓拍牌</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2DC9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63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6EA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EE8D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496DF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0629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52</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3B0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5年标定费</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4F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包含区间测速5年的标定费用</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9E6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27A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EB06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0F076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BB34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53</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0FA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反光道钉</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04EA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双面，铝合金材质</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32F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516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1500</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FB8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24BC6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1BE1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54</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3D9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违停警示牌</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447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600mm*800mm，符合国家或行业现行标准铝合金材质，Ⅲ类以上反光膜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6AC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EB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B1ED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35D5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1639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1F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违停标志牌</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CFCE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符合国家或行业现行标准800mm*1200mm铝合金材质，Ⅲ类以上反光膜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46D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739B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D73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72F1A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56E7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56</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7AE6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禁令标志牌</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EA68">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800mmφ符合国家或行业现行标准铝合金材质，Ⅲ类以上反光膜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1C6F0">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376D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15F2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14:paraId="5B15B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F614">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57</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FD207">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指示标志牌</w:t>
            </w:r>
          </w:p>
        </w:tc>
        <w:tc>
          <w:tcPr>
            <w:tcW w:w="3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DFEE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符合国家或行业现行标准800mm*1200mm铝合金材质，Ⅲ类以上反光膜 标牌厚度≥2mm，内容制作前需由交警大队核实，含交通违法监控提示牌等制作、安装及运输等。</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8E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块</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D55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1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B802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bl>
    <w:p w14:paraId="2DE37F5E">
      <w:pPr>
        <w:pStyle w:val="15"/>
        <w:ind w:left="0" w:leftChars="0" w:firstLine="0" w:firstLineChars="0"/>
        <w:rPr>
          <w:rFonts w:hint="eastAsia"/>
          <w:lang w:val="en-US" w:eastAsia="zh-CN"/>
        </w:rPr>
      </w:pPr>
    </w:p>
    <w:p w14:paraId="399CD1A9">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22" w:name="_Toc29926"/>
      <w:r>
        <w:rPr>
          <w:rFonts w:hint="eastAsia" w:ascii="宋体" w:hAnsi="宋体" w:eastAsia="宋体" w:cs="宋体"/>
          <w:b/>
          <w:bCs/>
          <w:color w:val="auto"/>
          <w:kern w:val="2"/>
          <w:sz w:val="24"/>
          <w:szCs w:val="24"/>
          <w:lang w:val="en-US" w:eastAsia="zh-CN" w:bidi="ar-SA"/>
        </w:rPr>
        <w:t>3.7.2交安设施建设</w:t>
      </w:r>
      <w:bookmarkEnd w:id="322"/>
    </w:p>
    <w:tbl>
      <w:tblPr>
        <w:tblStyle w:val="3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1536"/>
        <w:gridCol w:w="9181"/>
        <w:gridCol w:w="698"/>
        <w:gridCol w:w="698"/>
        <w:gridCol w:w="698"/>
      </w:tblGrid>
      <w:tr w14:paraId="666BD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gridSpan w:val="6"/>
            <w:tcBorders>
              <w:top w:val="nil"/>
              <w:left w:val="nil"/>
              <w:bottom w:val="nil"/>
              <w:right w:val="nil"/>
            </w:tcBorders>
            <w:shd w:val="clear" w:color="auto" w:fill="auto"/>
            <w:noWrap/>
            <w:vAlign w:val="center"/>
          </w:tcPr>
          <w:p w14:paraId="542DAF2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2" w:firstLineChars="200"/>
              <w:jc w:val="left"/>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交安设施建设</w:t>
            </w:r>
          </w:p>
        </w:tc>
      </w:tr>
      <w:tr w14:paraId="57E81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6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A7F7C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1536" w:type="dxa"/>
            <w:tcBorders>
              <w:top w:val="single" w:color="auto" w:sz="4" w:space="0"/>
              <w:left w:val="nil"/>
              <w:bottom w:val="single" w:color="auto" w:sz="4" w:space="0"/>
              <w:right w:val="single" w:color="auto" w:sz="4" w:space="0"/>
            </w:tcBorders>
            <w:shd w:val="clear" w:color="auto" w:fill="auto"/>
            <w:noWrap/>
            <w:vAlign w:val="center"/>
          </w:tcPr>
          <w:p w14:paraId="42DCE4E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产品类别</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09A21E1A">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2" w:firstLineChars="200"/>
              <w:jc w:val="center"/>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核心参数</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636B49B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单位</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16C80BE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数量</w:t>
            </w:r>
          </w:p>
        </w:tc>
        <w:tc>
          <w:tcPr>
            <w:tcW w:w="0" w:type="auto"/>
            <w:tcBorders>
              <w:top w:val="single" w:color="auto" w:sz="4" w:space="0"/>
              <w:left w:val="nil"/>
              <w:bottom w:val="single" w:color="auto" w:sz="4" w:space="0"/>
              <w:right w:val="single" w:color="auto" w:sz="4" w:space="0"/>
            </w:tcBorders>
            <w:shd w:val="clear" w:color="auto" w:fill="auto"/>
            <w:noWrap/>
            <w:vAlign w:val="center"/>
          </w:tcPr>
          <w:p w14:paraId="43E8897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备注</w:t>
            </w:r>
          </w:p>
        </w:tc>
      </w:tr>
      <w:tr w14:paraId="1C47D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698" w:type="dxa"/>
            <w:tcBorders>
              <w:top w:val="nil"/>
              <w:left w:val="single" w:color="auto" w:sz="4" w:space="0"/>
              <w:bottom w:val="single" w:color="auto" w:sz="4" w:space="0"/>
              <w:right w:val="single" w:color="auto" w:sz="4" w:space="0"/>
            </w:tcBorders>
            <w:shd w:val="clear" w:color="auto" w:fill="auto"/>
            <w:noWrap/>
            <w:vAlign w:val="center"/>
          </w:tcPr>
          <w:p w14:paraId="50EC08C9">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一</w:t>
            </w:r>
          </w:p>
        </w:tc>
        <w:tc>
          <w:tcPr>
            <w:tcW w:w="12113" w:type="dxa"/>
            <w:gridSpan w:val="4"/>
            <w:tcBorders>
              <w:top w:val="single" w:color="auto" w:sz="4" w:space="0"/>
              <w:left w:val="nil"/>
              <w:bottom w:val="single" w:color="auto" w:sz="4" w:space="0"/>
              <w:right w:val="single" w:color="auto" w:sz="4" w:space="0"/>
            </w:tcBorders>
            <w:shd w:val="clear" w:color="auto" w:fill="auto"/>
            <w:noWrap/>
            <w:vAlign w:val="center"/>
          </w:tcPr>
          <w:p w14:paraId="7840AD7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2" w:firstLineChars="200"/>
              <w:jc w:val="center"/>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主要设备部分</w:t>
            </w:r>
          </w:p>
        </w:tc>
        <w:tc>
          <w:tcPr>
            <w:tcW w:w="0" w:type="auto"/>
            <w:tcBorders>
              <w:top w:val="nil"/>
              <w:left w:val="nil"/>
              <w:bottom w:val="single" w:color="auto" w:sz="4" w:space="0"/>
              <w:right w:val="single" w:color="auto" w:sz="4" w:space="0"/>
            </w:tcBorders>
            <w:shd w:val="clear" w:color="auto" w:fill="auto"/>
            <w:noWrap/>
            <w:vAlign w:val="center"/>
          </w:tcPr>
          <w:p w14:paraId="372407FB">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2" w:firstLineChars="200"/>
              <w:jc w:val="left"/>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　</w:t>
            </w:r>
          </w:p>
        </w:tc>
      </w:tr>
      <w:tr w14:paraId="4AD00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8" w:type="dxa"/>
            <w:tcBorders>
              <w:top w:val="nil"/>
              <w:left w:val="single" w:color="auto" w:sz="4" w:space="0"/>
              <w:bottom w:val="single" w:color="auto" w:sz="4" w:space="0"/>
              <w:right w:val="single" w:color="auto" w:sz="4" w:space="0"/>
            </w:tcBorders>
            <w:shd w:val="clear" w:color="auto" w:fill="auto"/>
            <w:noWrap/>
            <w:vAlign w:val="center"/>
          </w:tcPr>
          <w:p w14:paraId="0BDC567D">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1536" w:type="dxa"/>
            <w:tcBorders>
              <w:top w:val="nil"/>
              <w:left w:val="nil"/>
              <w:bottom w:val="single" w:color="auto" w:sz="4" w:space="0"/>
              <w:right w:val="single" w:color="auto" w:sz="4" w:space="0"/>
            </w:tcBorders>
            <w:shd w:val="clear" w:color="auto" w:fill="auto"/>
            <w:noWrap/>
            <w:vAlign w:val="center"/>
          </w:tcPr>
          <w:p w14:paraId="16828E0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路口标志</w:t>
            </w:r>
          </w:p>
        </w:tc>
        <w:tc>
          <w:tcPr>
            <w:tcW w:w="0" w:type="auto"/>
            <w:tcBorders>
              <w:top w:val="nil"/>
              <w:left w:val="nil"/>
              <w:bottom w:val="single" w:color="auto" w:sz="4" w:space="0"/>
              <w:right w:val="single" w:color="auto" w:sz="4" w:space="0"/>
            </w:tcBorders>
            <w:shd w:val="clear" w:color="auto" w:fill="auto"/>
            <w:noWrap/>
            <w:vAlign w:val="center"/>
          </w:tcPr>
          <w:p w14:paraId="22D151C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三角形L=900mm；铝合金材质，Ⅲ类以上反光膜 标牌厚度≥2mm ，按GB57682-2022要求安装</w:t>
            </w:r>
          </w:p>
        </w:tc>
        <w:tc>
          <w:tcPr>
            <w:tcW w:w="0" w:type="auto"/>
            <w:tcBorders>
              <w:top w:val="nil"/>
              <w:left w:val="nil"/>
              <w:bottom w:val="single" w:color="auto" w:sz="4" w:space="0"/>
              <w:right w:val="single" w:color="auto" w:sz="4" w:space="0"/>
            </w:tcBorders>
            <w:shd w:val="clear" w:color="auto" w:fill="auto"/>
            <w:noWrap/>
            <w:vAlign w:val="center"/>
          </w:tcPr>
          <w:p w14:paraId="1DB1CBB4">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块</w:t>
            </w:r>
          </w:p>
        </w:tc>
        <w:tc>
          <w:tcPr>
            <w:tcW w:w="0" w:type="auto"/>
            <w:tcBorders>
              <w:top w:val="nil"/>
              <w:left w:val="nil"/>
              <w:bottom w:val="single" w:color="auto" w:sz="4" w:space="0"/>
              <w:right w:val="single" w:color="auto" w:sz="4" w:space="0"/>
            </w:tcBorders>
            <w:shd w:val="clear" w:color="auto" w:fill="auto"/>
            <w:noWrap/>
            <w:vAlign w:val="center"/>
          </w:tcPr>
          <w:p w14:paraId="53B1336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90</w:t>
            </w:r>
          </w:p>
        </w:tc>
        <w:tc>
          <w:tcPr>
            <w:tcW w:w="0" w:type="auto"/>
            <w:tcBorders>
              <w:top w:val="nil"/>
              <w:left w:val="nil"/>
              <w:bottom w:val="single" w:color="auto" w:sz="4" w:space="0"/>
              <w:right w:val="single" w:color="auto" w:sz="4" w:space="0"/>
            </w:tcBorders>
            <w:shd w:val="clear" w:color="auto" w:fill="auto"/>
            <w:noWrap/>
            <w:vAlign w:val="center"/>
          </w:tcPr>
          <w:p w14:paraId="2E67B877">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　</w:t>
            </w:r>
          </w:p>
        </w:tc>
      </w:tr>
      <w:tr w14:paraId="6B38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8" w:type="dxa"/>
            <w:tcBorders>
              <w:top w:val="nil"/>
              <w:left w:val="single" w:color="auto" w:sz="4" w:space="0"/>
              <w:bottom w:val="single" w:color="auto" w:sz="4" w:space="0"/>
              <w:right w:val="single" w:color="auto" w:sz="4" w:space="0"/>
            </w:tcBorders>
            <w:shd w:val="clear" w:color="auto" w:fill="auto"/>
            <w:noWrap/>
            <w:vAlign w:val="center"/>
          </w:tcPr>
          <w:p w14:paraId="6735839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2"/>
                <w:szCs w:val="22"/>
                <w:u w:val="none"/>
                <w:lang w:val="en-US" w:eastAsia="zh-CN"/>
              </w:rPr>
            </w:pPr>
            <w:r>
              <w:rPr>
                <w:rFonts w:hint="eastAsia" w:ascii="宋体" w:hAnsi="宋体" w:eastAsia="宋体" w:cs="宋体"/>
                <w:i w:val="0"/>
                <w:iCs w:val="0"/>
                <w:color w:val="auto"/>
                <w:kern w:val="2"/>
                <w:sz w:val="22"/>
                <w:szCs w:val="22"/>
                <w:u w:val="none"/>
                <w:lang w:val="en-US" w:eastAsia="zh-CN"/>
              </w:rPr>
              <w:t>2</w:t>
            </w:r>
          </w:p>
        </w:tc>
        <w:tc>
          <w:tcPr>
            <w:tcW w:w="1536" w:type="dxa"/>
            <w:tcBorders>
              <w:top w:val="nil"/>
              <w:left w:val="nil"/>
              <w:bottom w:val="single" w:color="auto" w:sz="4" w:space="0"/>
              <w:right w:val="single" w:color="auto" w:sz="4" w:space="0"/>
            </w:tcBorders>
            <w:shd w:val="clear" w:color="auto" w:fill="auto"/>
            <w:noWrap/>
            <w:vAlign w:val="center"/>
          </w:tcPr>
          <w:p w14:paraId="0A0EB12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停车让行标志</w:t>
            </w:r>
          </w:p>
        </w:tc>
        <w:tc>
          <w:tcPr>
            <w:tcW w:w="0" w:type="auto"/>
            <w:tcBorders>
              <w:top w:val="nil"/>
              <w:left w:val="nil"/>
              <w:bottom w:val="single" w:color="auto" w:sz="4" w:space="0"/>
              <w:right w:val="single" w:color="auto" w:sz="4" w:space="0"/>
            </w:tcBorders>
            <w:shd w:val="clear" w:color="auto" w:fill="auto"/>
            <w:noWrap/>
            <w:vAlign w:val="center"/>
          </w:tcPr>
          <w:p w14:paraId="38BADD40">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800mm八角 铝合金材质，Ⅲ类以上反光膜 标牌厚度≥2mm ，按GB57682-2022要求安装</w:t>
            </w:r>
          </w:p>
        </w:tc>
        <w:tc>
          <w:tcPr>
            <w:tcW w:w="0" w:type="auto"/>
            <w:tcBorders>
              <w:top w:val="nil"/>
              <w:left w:val="nil"/>
              <w:bottom w:val="single" w:color="auto" w:sz="4" w:space="0"/>
              <w:right w:val="single" w:color="auto" w:sz="4" w:space="0"/>
            </w:tcBorders>
            <w:shd w:val="clear" w:color="auto" w:fill="auto"/>
            <w:noWrap/>
            <w:vAlign w:val="center"/>
          </w:tcPr>
          <w:p w14:paraId="36ACFD3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块</w:t>
            </w:r>
          </w:p>
        </w:tc>
        <w:tc>
          <w:tcPr>
            <w:tcW w:w="0" w:type="auto"/>
            <w:tcBorders>
              <w:top w:val="nil"/>
              <w:left w:val="nil"/>
              <w:bottom w:val="single" w:color="auto" w:sz="4" w:space="0"/>
              <w:right w:val="single" w:color="auto" w:sz="4" w:space="0"/>
            </w:tcBorders>
            <w:shd w:val="clear" w:color="auto" w:fill="auto"/>
            <w:noWrap/>
            <w:vAlign w:val="center"/>
          </w:tcPr>
          <w:p w14:paraId="042430D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0" w:type="auto"/>
            <w:tcBorders>
              <w:top w:val="nil"/>
              <w:left w:val="nil"/>
              <w:bottom w:val="single" w:color="auto" w:sz="4" w:space="0"/>
              <w:right w:val="single" w:color="auto" w:sz="4" w:space="0"/>
            </w:tcBorders>
            <w:shd w:val="clear" w:color="auto" w:fill="auto"/>
            <w:noWrap/>
            <w:vAlign w:val="center"/>
          </w:tcPr>
          <w:p w14:paraId="4F01FF6E">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40" w:firstLineChars="200"/>
              <w:jc w:val="left"/>
              <w:textAlignment w:val="center"/>
              <w:rPr>
                <w:rFonts w:hint="eastAsia" w:ascii="宋体" w:hAnsi="宋体" w:eastAsia="宋体" w:cs="宋体"/>
                <w:i w:val="0"/>
                <w:iCs w:val="0"/>
                <w:color w:val="auto"/>
                <w:kern w:val="2"/>
                <w:sz w:val="22"/>
                <w:szCs w:val="22"/>
                <w:u w:val="none"/>
              </w:rPr>
            </w:pPr>
            <w:r>
              <w:rPr>
                <w:rFonts w:hint="eastAsia" w:ascii="宋体" w:hAnsi="宋体" w:eastAsia="宋体" w:cs="宋体"/>
                <w:i w:val="0"/>
                <w:iCs w:val="0"/>
                <w:color w:val="auto"/>
                <w:kern w:val="0"/>
                <w:sz w:val="22"/>
                <w:szCs w:val="22"/>
                <w:u w:val="none"/>
                <w:lang w:val="en-US" w:eastAsia="zh-CN" w:bidi="ar"/>
              </w:rPr>
              <w:t>　</w:t>
            </w:r>
          </w:p>
        </w:tc>
      </w:tr>
      <w:tr w14:paraId="2FEC2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698" w:type="dxa"/>
            <w:tcBorders>
              <w:top w:val="nil"/>
              <w:left w:val="single" w:color="auto" w:sz="4" w:space="0"/>
              <w:bottom w:val="single" w:color="auto" w:sz="4" w:space="0"/>
              <w:right w:val="single" w:color="auto" w:sz="4" w:space="0"/>
            </w:tcBorders>
            <w:shd w:val="clear" w:color="auto" w:fill="auto"/>
            <w:noWrap/>
            <w:vAlign w:val="center"/>
          </w:tcPr>
          <w:p w14:paraId="19BBB0F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二</w:t>
            </w:r>
          </w:p>
        </w:tc>
        <w:tc>
          <w:tcPr>
            <w:tcW w:w="12113" w:type="dxa"/>
            <w:gridSpan w:val="4"/>
            <w:tcBorders>
              <w:top w:val="single" w:color="auto" w:sz="4" w:space="0"/>
              <w:left w:val="nil"/>
              <w:bottom w:val="single" w:color="auto" w:sz="4" w:space="0"/>
              <w:right w:val="single" w:color="auto" w:sz="4" w:space="0"/>
            </w:tcBorders>
            <w:shd w:val="clear" w:color="auto" w:fill="auto"/>
            <w:noWrap/>
            <w:vAlign w:val="center"/>
          </w:tcPr>
          <w:p w14:paraId="27950B71">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2" w:firstLineChars="200"/>
              <w:jc w:val="center"/>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主要材料部分</w:t>
            </w:r>
          </w:p>
        </w:tc>
        <w:tc>
          <w:tcPr>
            <w:tcW w:w="0" w:type="auto"/>
            <w:tcBorders>
              <w:top w:val="nil"/>
              <w:left w:val="nil"/>
              <w:bottom w:val="single" w:color="auto" w:sz="4" w:space="0"/>
              <w:right w:val="single" w:color="auto" w:sz="4" w:space="0"/>
            </w:tcBorders>
            <w:shd w:val="clear" w:color="auto" w:fill="auto"/>
            <w:noWrap/>
            <w:vAlign w:val="center"/>
          </w:tcPr>
          <w:p w14:paraId="5DED408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2" w:firstLineChars="200"/>
              <w:jc w:val="left"/>
              <w:textAlignment w:val="center"/>
              <w:rPr>
                <w:rFonts w:hint="eastAsia" w:ascii="宋体" w:hAnsi="宋体" w:eastAsia="宋体" w:cs="宋体"/>
                <w:b/>
                <w:bCs/>
                <w:i w:val="0"/>
                <w:iCs w:val="0"/>
                <w:color w:val="auto"/>
                <w:kern w:val="2"/>
                <w:sz w:val="24"/>
                <w:szCs w:val="24"/>
                <w:u w:val="none"/>
              </w:rPr>
            </w:pPr>
            <w:r>
              <w:rPr>
                <w:rFonts w:hint="eastAsia" w:ascii="宋体" w:hAnsi="宋体" w:eastAsia="宋体" w:cs="宋体"/>
                <w:b/>
                <w:bCs/>
                <w:i w:val="0"/>
                <w:iCs w:val="0"/>
                <w:color w:val="auto"/>
                <w:kern w:val="0"/>
                <w:sz w:val="24"/>
                <w:szCs w:val="24"/>
                <w:u w:val="none"/>
                <w:lang w:val="en-US" w:eastAsia="zh-CN" w:bidi="ar"/>
              </w:rPr>
              <w:t>　</w:t>
            </w:r>
          </w:p>
        </w:tc>
      </w:tr>
      <w:tr w14:paraId="2096A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8" w:type="dxa"/>
            <w:tcBorders>
              <w:top w:val="nil"/>
              <w:left w:val="single" w:color="auto" w:sz="4" w:space="0"/>
              <w:bottom w:val="single" w:color="auto" w:sz="4" w:space="0"/>
              <w:right w:val="single" w:color="auto" w:sz="4" w:space="0"/>
            </w:tcBorders>
            <w:shd w:val="clear" w:color="auto" w:fill="auto"/>
            <w:noWrap/>
            <w:vAlign w:val="center"/>
          </w:tcPr>
          <w:p w14:paraId="38F56093">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center"/>
              <w:textAlignment w:val="center"/>
              <w:rPr>
                <w:rFonts w:hint="eastAsia" w:ascii="宋体" w:hAnsi="宋体" w:eastAsia="宋体" w:cs="宋体"/>
                <w:i w:val="0"/>
                <w:iCs w:val="0"/>
                <w:color w:val="auto"/>
                <w:kern w:val="2"/>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536" w:type="dxa"/>
            <w:tcBorders>
              <w:top w:val="nil"/>
              <w:left w:val="nil"/>
              <w:bottom w:val="single" w:color="auto" w:sz="4" w:space="0"/>
              <w:right w:val="single" w:color="auto" w:sz="4" w:space="0"/>
            </w:tcBorders>
            <w:shd w:val="clear" w:color="auto" w:fill="auto"/>
            <w:noWrap/>
            <w:vAlign w:val="center"/>
          </w:tcPr>
          <w:p w14:paraId="3C6744E8">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4"/>
                <w:szCs w:val="24"/>
                <w:u w:val="none"/>
              </w:rPr>
            </w:pPr>
            <w:r>
              <w:rPr>
                <w:rFonts w:hint="eastAsia" w:ascii="宋体" w:hAnsi="宋体" w:eastAsia="宋体" w:cs="宋体"/>
                <w:i w:val="0"/>
                <w:iCs w:val="0"/>
                <w:color w:val="auto"/>
                <w:kern w:val="0"/>
                <w:sz w:val="24"/>
                <w:szCs w:val="24"/>
                <w:u w:val="none"/>
                <w:lang w:val="en-US" w:eastAsia="zh-CN" w:bidi="ar"/>
              </w:rPr>
              <w:t>4米标牌杆</w:t>
            </w:r>
          </w:p>
        </w:tc>
        <w:tc>
          <w:tcPr>
            <w:tcW w:w="0" w:type="auto"/>
            <w:tcBorders>
              <w:top w:val="nil"/>
              <w:left w:val="nil"/>
              <w:bottom w:val="single" w:color="auto" w:sz="4" w:space="0"/>
              <w:right w:val="single" w:color="auto" w:sz="4" w:space="0"/>
            </w:tcBorders>
            <w:shd w:val="clear" w:color="auto" w:fill="auto"/>
            <w:noWrap/>
            <w:vAlign w:val="center"/>
          </w:tcPr>
          <w:p w14:paraId="06BA9A1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0" w:firstLineChars="200"/>
              <w:jc w:val="left"/>
              <w:textAlignment w:val="center"/>
              <w:rPr>
                <w:rFonts w:hint="eastAsia" w:ascii="宋体" w:hAnsi="宋体" w:eastAsia="宋体" w:cs="宋体"/>
                <w:i w:val="0"/>
                <w:iCs w:val="0"/>
                <w:color w:val="auto"/>
                <w:kern w:val="2"/>
                <w:sz w:val="24"/>
                <w:szCs w:val="24"/>
                <w:u w:val="none"/>
              </w:rPr>
            </w:pPr>
            <w:r>
              <w:rPr>
                <w:rFonts w:hint="eastAsia" w:ascii="宋体" w:hAnsi="宋体" w:eastAsia="宋体" w:cs="宋体"/>
                <w:i w:val="0"/>
                <w:iCs w:val="0"/>
                <w:color w:val="auto"/>
                <w:kern w:val="0"/>
                <w:sz w:val="24"/>
                <w:szCs w:val="24"/>
                <w:u w:val="none"/>
                <w:lang w:val="en-US" w:eastAsia="zh-CN" w:bidi="ar"/>
              </w:rPr>
              <w:t>φ102*5*4000mm</w:t>
            </w:r>
            <w:r>
              <w:rPr>
                <w:rFonts w:hint="eastAsia" w:ascii="宋体" w:hAnsi="宋体" w:eastAsia="宋体" w:cs="宋体"/>
                <w:i w:val="0"/>
                <w:iCs w:val="0"/>
                <w:color w:val="000000"/>
                <w:kern w:val="0"/>
                <w:sz w:val="20"/>
                <w:szCs w:val="20"/>
                <w:u w:val="none"/>
                <w:lang w:val="en-US" w:eastAsia="zh-CN" w:bidi="ar"/>
              </w:rPr>
              <w:t>镀锌钢管</w:t>
            </w:r>
            <w:r>
              <w:rPr>
                <w:rFonts w:hint="eastAsia" w:ascii="宋体" w:hAnsi="宋体" w:eastAsia="宋体" w:cs="宋体"/>
                <w:i w:val="0"/>
                <w:iCs w:val="0"/>
                <w:color w:val="auto"/>
                <w:kern w:val="0"/>
                <w:sz w:val="24"/>
                <w:szCs w:val="24"/>
                <w:u w:val="none"/>
                <w:lang w:val="en-US" w:eastAsia="zh-CN" w:bidi="ar"/>
              </w:rPr>
              <w:t>基础：600m*600mm*1000mm</w:t>
            </w:r>
          </w:p>
        </w:tc>
        <w:tc>
          <w:tcPr>
            <w:tcW w:w="0" w:type="auto"/>
            <w:tcBorders>
              <w:top w:val="nil"/>
              <w:left w:val="nil"/>
              <w:bottom w:val="single" w:color="auto" w:sz="4" w:space="0"/>
              <w:right w:val="single" w:color="auto" w:sz="4" w:space="0"/>
            </w:tcBorders>
            <w:shd w:val="clear" w:color="auto" w:fill="auto"/>
            <w:noWrap/>
            <w:vAlign w:val="center"/>
          </w:tcPr>
          <w:p w14:paraId="46EB680F">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4"/>
                <w:szCs w:val="24"/>
                <w:u w:val="none"/>
              </w:rPr>
            </w:pPr>
            <w:r>
              <w:rPr>
                <w:rFonts w:hint="eastAsia" w:ascii="宋体" w:hAnsi="宋体" w:eastAsia="宋体" w:cs="宋体"/>
                <w:i w:val="0"/>
                <w:iCs w:val="0"/>
                <w:color w:val="auto"/>
                <w:kern w:val="0"/>
                <w:sz w:val="24"/>
                <w:szCs w:val="24"/>
                <w:u w:val="none"/>
                <w:lang w:val="en-US" w:eastAsia="zh-CN" w:bidi="ar"/>
              </w:rPr>
              <w:t>套</w:t>
            </w:r>
          </w:p>
        </w:tc>
        <w:tc>
          <w:tcPr>
            <w:tcW w:w="0" w:type="auto"/>
            <w:tcBorders>
              <w:top w:val="nil"/>
              <w:left w:val="nil"/>
              <w:bottom w:val="single" w:color="auto" w:sz="4" w:space="0"/>
              <w:right w:val="single" w:color="auto" w:sz="4" w:space="0"/>
            </w:tcBorders>
            <w:shd w:val="clear" w:color="auto" w:fill="auto"/>
            <w:noWrap/>
            <w:vAlign w:val="center"/>
          </w:tcPr>
          <w:p w14:paraId="58D3CC72">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jc w:val="left"/>
              <w:textAlignment w:val="center"/>
              <w:rPr>
                <w:rFonts w:hint="eastAsia" w:ascii="宋体" w:hAnsi="宋体" w:eastAsia="宋体" w:cs="宋体"/>
                <w:i w:val="0"/>
                <w:iCs w:val="0"/>
                <w:color w:val="auto"/>
                <w:kern w:val="2"/>
                <w:sz w:val="24"/>
                <w:szCs w:val="24"/>
                <w:u w:val="none"/>
              </w:rPr>
            </w:pPr>
            <w:r>
              <w:rPr>
                <w:rFonts w:hint="eastAsia" w:ascii="宋体" w:hAnsi="宋体" w:eastAsia="宋体" w:cs="宋体"/>
                <w:i w:val="0"/>
                <w:iCs w:val="0"/>
                <w:color w:val="auto"/>
                <w:kern w:val="0"/>
                <w:sz w:val="24"/>
                <w:szCs w:val="24"/>
                <w:u w:val="none"/>
                <w:lang w:val="en-US" w:eastAsia="zh-CN" w:bidi="ar"/>
              </w:rPr>
              <w:t>90</w:t>
            </w:r>
          </w:p>
        </w:tc>
        <w:tc>
          <w:tcPr>
            <w:tcW w:w="0" w:type="auto"/>
            <w:tcBorders>
              <w:top w:val="nil"/>
              <w:left w:val="nil"/>
              <w:bottom w:val="single" w:color="auto" w:sz="4" w:space="0"/>
              <w:right w:val="single" w:color="auto" w:sz="4" w:space="0"/>
            </w:tcBorders>
            <w:shd w:val="clear" w:color="auto" w:fill="auto"/>
            <w:noWrap/>
            <w:vAlign w:val="center"/>
          </w:tcPr>
          <w:p w14:paraId="374C985C">
            <w:pPr>
              <w:keepNext w:val="0"/>
              <w:keepLines w:val="0"/>
              <w:pageBreakBefore w:val="0"/>
              <w:widowControl/>
              <w:suppressLineNumbers w:val="0"/>
              <w:tabs>
                <w:tab w:val="left" w:pos="9240"/>
              </w:tabs>
              <w:kinsoku/>
              <w:wordWrap/>
              <w:overflowPunct/>
              <w:topLinePunct w:val="0"/>
              <w:autoSpaceDE/>
              <w:autoSpaceDN/>
              <w:bidi w:val="0"/>
              <w:adjustRightInd/>
              <w:snapToGrid/>
              <w:spacing w:before="0" w:beforeAutospacing="0" w:after="0" w:afterAutospacing="0" w:line="400" w:lineRule="exact"/>
              <w:ind w:left="0" w:right="0" w:firstLine="480" w:firstLineChars="200"/>
              <w:jc w:val="left"/>
              <w:textAlignment w:val="center"/>
              <w:rPr>
                <w:rFonts w:hint="eastAsia" w:ascii="宋体" w:hAnsi="宋体" w:eastAsia="宋体" w:cs="宋体"/>
                <w:i w:val="0"/>
                <w:iCs w:val="0"/>
                <w:color w:val="auto"/>
                <w:kern w:val="2"/>
                <w:sz w:val="24"/>
                <w:szCs w:val="24"/>
                <w:u w:val="none"/>
              </w:rPr>
            </w:pPr>
            <w:r>
              <w:rPr>
                <w:rFonts w:hint="eastAsia" w:ascii="宋体" w:hAnsi="宋体" w:eastAsia="宋体" w:cs="宋体"/>
                <w:i w:val="0"/>
                <w:iCs w:val="0"/>
                <w:color w:val="auto"/>
                <w:kern w:val="0"/>
                <w:sz w:val="24"/>
                <w:szCs w:val="24"/>
                <w:u w:val="none"/>
                <w:lang w:val="en-US" w:eastAsia="zh-CN" w:bidi="ar"/>
              </w:rPr>
              <w:t>　</w:t>
            </w:r>
          </w:p>
        </w:tc>
      </w:tr>
    </w:tbl>
    <w:p w14:paraId="70B69B4A">
      <w:pPr>
        <w:pageBreakBefore w:val="0"/>
        <w:tabs>
          <w:tab w:val="left" w:pos="9240"/>
        </w:tabs>
        <w:kinsoku/>
        <w:wordWrap/>
        <w:overflowPunct/>
        <w:topLinePunct w:val="0"/>
        <w:autoSpaceDE/>
        <w:autoSpaceDN/>
        <w:bidi w:val="0"/>
        <w:adjustRightInd/>
        <w:snapToGrid/>
        <w:spacing w:line="400" w:lineRule="exact"/>
        <w:ind w:firstLine="480"/>
        <w:jc w:val="left"/>
        <w:rPr>
          <w:rFonts w:hint="eastAsia" w:ascii="宋体" w:hAnsi="宋体" w:eastAsia="宋体" w:cs="宋体"/>
          <w:color w:val="auto"/>
          <w:sz w:val="24"/>
          <w:szCs w:val="24"/>
        </w:rPr>
        <w:sectPr>
          <w:pgSz w:w="16838" w:h="11906" w:orient="landscape"/>
          <w:pgMar w:top="1797" w:right="1440" w:bottom="1700" w:left="1440" w:header="851" w:footer="851" w:gutter="0"/>
          <w:pgNumType w:fmt="decimal"/>
          <w:cols w:space="425" w:num="1"/>
          <w:docGrid w:type="lines" w:linePitch="312" w:charSpace="0"/>
        </w:sectPr>
      </w:pPr>
    </w:p>
    <w:p w14:paraId="60B77C57">
      <w:pPr>
        <w:keepNext/>
        <w:keepLines/>
        <w:pageBreakBefore w:val="0"/>
        <w:widowControl w:val="0"/>
        <w:tabs>
          <w:tab w:val="left" w:pos="9240"/>
        </w:tabs>
        <w:kinsoku/>
        <w:wordWrap/>
        <w:overflowPunct/>
        <w:topLinePunct w:val="0"/>
        <w:autoSpaceDE/>
        <w:autoSpaceDN/>
        <w:bidi w:val="0"/>
        <w:adjustRightInd/>
        <w:snapToGrid/>
        <w:spacing w:before="340" w:after="330" w:line="400" w:lineRule="exact"/>
        <w:jc w:val="left"/>
        <w:outlineLvl w:val="0"/>
        <w:rPr>
          <w:rFonts w:hint="eastAsia" w:ascii="宋体" w:hAnsi="宋体" w:eastAsia="宋体" w:cs="宋体"/>
          <w:b/>
          <w:bCs/>
          <w:color w:val="auto"/>
          <w:kern w:val="44"/>
          <w:sz w:val="24"/>
          <w:szCs w:val="24"/>
          <w:lang w:val="en-US" w:eastAsia="zh-CN" w:bidi="ar-SA"/>
        </w:rPr>
      </w:pPr>
      <w:bookmarkStart w:id="323" w:name="_Toc1621"/>
      <w:r>
        <w:rPr>
          <w:rFonts w:hint="eastAsia" w:ascii="宋体" w:hAnsi="宋体" w:eastAsia="宋体" w:cs="宋体"/>
          <w:b/>
          <w:bCs/>
          <w:color w:val="auto"/>
          <w:kern w:val="44"/>
          <w:sz w:val="24"/>
          <w:szCs w:val="24"/>
          <w:lang w:val="en-US" w:eastAsia="zh-CN" w:bidi="ar-SA"/>
        </w:rPr>
        <w:t>四、项目组织机构和人员</w:t>
      </w:r>
      <w:bookmarkEnd w:id="317"/>
      <w:bookmarkEnd w:id="318"/>
      <w:bookmarkEnd w:id="319"/>
      <w:bookmarkEnd w:id="320"/>
      <w:bookmarkEnd w:id="323"/>
    </w:p>
    <w:p w14:paraId="547685C8">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324" w:name="_Toc110456673"/>
      <w:bookmarkStart w:id="325" w:name="_Toc513710743"/>
      <w:bookmarkStart w:id="326" w:name="_Toc91064155"/>
      <w:bookmarkStart w:id="327" w:name="_Toc65184883"/>
      <w:bookmarkStart w:id="328" w:name="_Toc516046663"/>
      <w:bookmarkStart w:id="329" w:name="_Toc15549411"/>
      <w:bookmarkStart w:id="330" w:name="_Toc529546876"/>
      <w:bookmarkStart w:id="331" w:name="_Toc17168"/>
      <w:r>
        <w:rPr>
          <w:rFonts w:hint="eastAsia" w:ascii="宋体" w:hAnsi="宋体" w:eastAsia="宋体" w:cs="宋体"/>
          <w:b/>
          <w:bCs/>
          <w:color w:val="auto"/>
          <w:kern w:val="2"/>
          <w:sz w:val="24"/>
          <w:szCs w:val="24"/>
          <w:lang w:val="en-US" w:eastAsia="zh-CN" w:bidi="ar-SA"/>
        </w:rPr>
        <w:t>4.1领导和管理机构</w:t>
      </w:r>
      <w:bookmarkEnd w:id="324"/>
      <w:bookmarkEnd w:id="325"/>
      <w:bookmarkEnd w:id="326"/>
      <w:bookmarkEnd w:id="327"/>
      <w:bookmarkEnd w:id="328"/>
      <w:bookmarkEnd w:id="329"/>
      <w:bookmarkEnd w:id="330"/>
      <w:bookmarkEnd w:id="331"/>
    </w:p>
    <w:p w14:paraId="1AD4ABDA">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本项目成立专门项目领导小组，加强项目建设的统筹协调、指导督导，推动解决项目建设工作中的存在的重大问题。</w:t>
      </w:r>
    </w:p>
    <w:p w14:paraId="4B6412C0">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332" w:name="_Toc110456674"/>
      <w:bookmarkStart w:id="333" w:name="_Toc15549412"/>
      <w:bookmarkStart w:id="334" w:name="_Toc91064156"/>
      <w:bookmarkStart w:id="335" w:name="_Toc513710744"/>
      <w:bookmarkStart w:id="336" w:name="_Toc516046664"/>
      <w:bookmarkStart w:id="337" w:name="_Toc2935"/>
      <w:bookmarkStart w:id="338" w:name="_Toc529546877"/>
      <w:bookmarkStart w:id="339" w:name="_Toc65184884"/>
      <w:r>
        <w:rPr>
          <w:rFonts w:hint="eastAsia" w:ascii="宋体" w:hAnsi="宋体" w:eastAsia="宋体" w:cs="宋体"/>
          <w:b/>
          <w:bCs/>
          <w:color w:val="auto"/>
          <w:kern w:val="2"/>
          <w:sz w:val="24"/>
          <w:szCs w:val="24"/>
          <w:lang w:val="en-US" w:eastAsia="zh-CN" w:bidi="ar-SA"/>
        </w:rPr>
        <w:t>4.2项目实施机构</w:t>
      </w:r>
      <w:bookmarkEnd w:id="332"/>
      <w:bookmarkEnd w:id="333"/>
      <w:bookmarkEnd w:id="334"/>
      <w:bookmarkEnd w:id="335"/>
      <w:bookmarkEnd w:id="336"/>
      <w:bookmarkEnd w:id="337"/>
      <w:bookmarkEnd w:id="338"/>
      <w:bookmarkEnd w:id="339"/>
    </w:p>
    <w:p w14:paraId="363A767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项目实施机构主要由业主单位的各相关部门、承建单位和监理单位共同组成。项目实施机构职责：具体负责本项目的实施过程中的协调、安装、调试、试运行、验收等工作，保证项目按时高质量地交付使用。</w:t>
      </w:r>
    </w:p>
    <w:p w14:paraId="30DED4E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340" w:name="_Toc65184885"/>
      <w:bookmarkStart w:id="341" w:name="_Toc110456675"/>
      <w:bookmarkStart w:id="342" w:name="_Toc15549419"/>
      <w:bookmarkStart w:id="343" w:name="_Toc368"/>
      <w:bookmarkStart w:id="344" w:name="_Toc91064157"/>
      <w:r>
        <w:rPr>
          <w:rFonts w:hint="eastAsia" w:ascii="宋体" w:hAnsi="宋体" w:eastAsia="宋体" w:cs="宋体"/>
          <w:b/>
          <w:bCs/>
          <w:color w:val="auto"/>
          <w:kern w:val="2"/>
          <w:sz w:val="24"/>
          <w:szCs w:val="24"/>
          <w:lang w:val="en-US" w:eastAsia="zh-CN" w:bidi="ar-SA"/>
        </w:rPr>
        <w:t>4.3人员培训需求和计划</w:t>
      </w:r>
      <w:bookmarkEnd w:id="340"/>
      <w:bookmarkEnd w:id="341"/>
      <w:bookmarkEnd w:id="342"/>
      <w:bookmarkEnd w:id="343"/>
      <w:bookmarkEnd w:id="344"/>
    </w:p>
    <w:p w14:paraId="49306B4B">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为保证项目建设质量，更好地满足系统应用的需要，特制定以下培训方案：</w:t>
      </w:r>
    </w:p>
    <w:p w14:paraId="66289022">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（1）培训计划</w:t>
      </w:r>
    </w:p>
    <w:p w14:paraId="212A294C">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系统管理员培训：掌握系统日常维护各种技术，熟练掌握对网络管理和维护、硬件管理和维护、应用系统的管理和维护以及安全管理等。</w:t>
      </w:r>
    </w:p>
    <w:p w14:paraId="29E2A137">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技术人员培训：通过各种的培训方式，使项目系统技术人员掌握视频系统、网络系统等技术，具备一定的维护能力，在系统实施过程中能够参与项目管理和系统搭建，在系统维护过程中能够自行维护。</w:t>
      </w:r>
    </w:p>
    <w:p w14:paraId="1493C58B">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系统操作员培训：能够熟练使用系统各类前台操作模块、快速调用相关业务处理模块并规范输入各种信息。</w:t>
      </w:r>
    </w:p>
    <w:p w14:paraId="0540EC5D">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（2）培训主要内容</w:t>
      </w:r>
    </w:p>
    <w:p w14:paraId="2DDBB66A">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培训主要内容有：前端点位勘察、系统应用、软硬件的运行与维护、网络和安全管理等。</w:t>
      </w:r>
    </w:p>
    <w:p w14:paraId="41DF165A">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（3）培训主要方式</w:t>
      </w:r>
    </w:p>
    <w:p w14:paraId="72098B0A">
      <w:pPr>
        <w:keepNext w:val="0"/>
        <w:keepLines w:val="0"/>
        <w:pageBreakBefore w:val="0"/>
        <w:widowControl w:val="0"/>
        <w:tabs>
          <w:tab w:val="left" w:pos="9240"/>
        </w:tabs>
        <w:kinsoku w:val="0"/>
        <w:wordWrap/>
        <w:overflowPunct w:val="0"/>
        <w:topLinePunct w:val="0"/>
        <w:autoSpaceDE w:val="0"/>
        <w:autoSpaceDN w:val="0"/>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室内培训：对专业运维人员分批集中进行培训，承建单位免费提供培训教材及师资。</w:t>
      </w:r>
    </w:p>
    <w:p w14:paraId="3D0822BC">
      <w:pPr>
        <w:keepNext w:val="0"/>
        <w:keepLines w:val="0"/>
        <w:pageBreakBefore w:val="0"/>
        <w:widowControl w:val="0"/>
        <w:tabs>
          <w:tab w:val="left" w:pos="9240"/>
        </w:tabs>
        <w:kinsoku w:val="0"/>
        <w:wordWrap/>
        <w:overflowPunct w:val="0"/>
        <w:topLinePunct w:val="0"/>
        <w:autoSpaceDE w:val="0"/>
        <w:autoSpaceDN w:val="0"/>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现场培训：对指定人员独立进行设备的安装、操作、测试、运营、维护等等进行培训，承建单位免费提供培训教材及师资。</w:t>
      </w:r>
    </w:p>
    <w:p w14:paraId="73C0C821">
      <w:pPr>
        <w:keepNext w:val="0"/>
        <w:keepLines w:val="0"/>
        <w:pageBreakBefore w:val="0"/>
        <w:widowControl w:val="0"/>
        <w:tabs>
          <w:tab w:val="left" w:pos="9240"/>
        </w:tabs>
        <w:kinsoku w:val="0"/>
        <w:wordWrap/>
        <w:overflowPunct w:val="0"/>
        <w:topLinePunct w:val="0"/>
        <w:autoSpaceDE w:val="0"/>
        <w:autoSpaceDN w:val="0"/>
        <w:bidi w:val="0"/>
        <w:adjustRightInd/>
        <w:snapToGrid/>
        <w:spacing w:before="340" w:after="330" w:line="400" w:lineRule="exact"/>
        <w:ind w:firstLine="482" w:firstLineChars="200"/>
        <w:jc w:val="left"/>
        <w:textAlignment w:val="auto"/>
        <w:outlineLvl w:val="0"/>
        <w:rPr>
          <w:rFonts w:hint="eastAsia" w:ascii="宋体" w:hAnsi="宋体" w:eastAsia="宋体" w:cs="宋体"/>
          <w:b/>
          <w:bCs/>
          <w:color w:val="auto"/>
          <w:kern w:val="44"/>
          <w:sz w:val="24"/>
          <w:szCs w:val="24"/>
          <w:lang w:val="en-US" w:eastAsia="zh-CN" w:bidi="ar-SA"/>
        </w:rPr>
      </w:pPr>
      <w:bookmarkStart w:id="345" w:name="_Toc4394"/>
      <w:r>
        <w:rPr>
          <w:rFonts w:hint="eastAsia" w:ascii="宋体" w:hAnsi="宋体" w:eastAsia="宋体" w:cs="宋体"/>
          <w:b/>
          <w:bCs/>
          <w:color w:val="auto"/>
          <w:kern w:val="44"/>
          <w:sz w:val="24"/>
          <w:szCs w:val="24"/>
          <w:lang w:val="en-US" w:eastAsia="zh-CN" w:bidi="ar-SA"/>
        </w:rPr>
        <w:t>五、初步设计概算</w:t>
      </w:r>
      <w:bookmarkEnd w:id="345"/>
    </w:p>
    <w:p w14:paraId="0CF99AEF">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346" w:name="_Toc25601"/>
      <w:bookmarkStart w:id="347" w:name="_Toc12153"/>
      <w:bookmarkStart w:id="348" w:name="_Toc14483"/>
      <w:bookmarkStart w:id="349" w:name="_Toc8625"/>
      <w:r>
        <w:rPr>
          <w:rFonts w:hint="eastAsia" w:ascii="宋体" w:hAnsi="宋体" w:eastAsia="宋体" w:cs="宋体"/>
          <w:b/>
          <w:bCs/>
          <w:color w:val="auto"/>
          <w:kern w:val="2"/>
          <w:sz w:val="24"/>
          <w:szCs w:val="24"/>
          <w:lang w:val="en-US" w:eastAsia="zh-CN" w:bidi="ar-SA"/>
        </w:rPr>
        <w:t>5.1投资概算编制说明</w:t>
      </w:r>
      <w:bookmarkEnd w:id="346"/>
      <w:bookmarkEnd w:id="347"/>
      <w:bookmarkEnd w:id="348"/>
      <w:bookmarkEnd w:id="349"/>
    </w:p>
    <w:p w14:paraId="028694BB">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bookmarkStart w:id="350" w:name="_Toc7228"/>
      <w:bookmarkStart w:id="351" w:name="_Toc3330"/>
      <w:bookmarkStart w:id="352" w:name="_Toc11237"/>
      <w:r>
        <w:rPr>
          <w:rFonts w:hint="eastAsia" w:ascii="宋体" w:hAnsi="宋体" w:eastAsia="宋体" w:cs="宋体"/>
          <w:color w:val="auto"/>
          <w:kern w:val="2"/>
          <w:sz w:val="24"/>
          <w:szCs w:val="24"/>
        </w:rPr>
        <w:t>硬件设备</w:t>
      </w:r>
      <w:bookmarkEnd w:id="350"/>
      <w:bookmarkEnd w:id="351"/>
      <w:bookmarkEnd w:id="352"/>
    </w:p>
    <w:p w14:paraId="6B9A0FB5">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硬件设备建设主要依据：</w:t>
      </w:r>
    </w:p>
    <w:p w14:paraId="2EA0966C">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（1）根据需求分析及业务量预测推算出本期项目的建设规模、内容、设备性能需求等，最终得出本期工程所需设备配置；</w:t>
      </w:r>
    </w:p>
    <w:p w14:paraId="49146838">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（2）根据相关已建项目的投资及有关设备厂家提供的设备报价，完成本期项目硬件设备的投资估算。</w:t>
      </w:r>
    </w:p>
    <w:p w14:paraId="00285017">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（3）优先考虑国产先进、成熟的主流设备。</w:t>
      </w:r>
    </w:p>
    <w:p w14:paraId="3CD0737A">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bookmarkStart w:id="353" w:name="_Toc7509"/>
      <w:bookmarkStart w:id="354" w:name="_Toc18753"/>
      <w:bookmarkStart w:id="355" w:name="_Toc1633"/>
      <w:r>
        <w:rPr>
          <w:rFonts w:hint="eastAsia" w:ascii="宋体" w:hAnsi="宋体" w:eastAsia="宋体" w:cs="宋体"/>
          <w:color w:val="auto"/>
          <w:kern w:val="2"/>
          <w:sz w:val="24"/>
          <w:szCs w:val="24"/>
        </w:rPr>
        <w:t>工程建设其它费</w:t>
      </w:r>
      <w:bookmarkEnd w:id="353"/>
      <w:bookmarkEnd w:id="354"/>
      <w:bookmarkEnd w:id="355"/>
    </w:p>
    <w:p w14:paraId="32C8E531">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（1）项目建设管理费</w:t>
      </w:r>
    </w:p>
    <w:p w14:paraId="0032A89A">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p>
    <w:p w14:paraId="69C936CE">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（2）勘察设计费</w:t>
      </w:r>
    </w:p>
    <w:p w14:paraId="6462175C">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参考《工程勘察设计收费管理规定计价格》计价格〔2002〕10号文，及项目相关招标结果计取。</w:t>
      </w:r>
    </w:p>
    <w:p w14:paraId="50D6C442">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（3）安全生产费</w:t>
      </w:r>
    </w:p>
    <w:p w14:paraId="6C8BE33F">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财企〔2012〕16号发布的《企业安全生产费用提取和使用管理办法》中安全生产费用（以下简称安全费用）是指企业按照规定标准提取，在成本中列支，专门用于完善和改进企业安全生产条件的资金。</w:t>
      </w:r>
    </w:p>
    <w:p w14:paraId="6F6972A3">
      <w:pPr>
        <w:pageBreakBefore w:val="0"/>
        <w:tabs>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安全生产费计取工程范围主要包括土木工程、建筑工程、井巷工程、线路管道和设备安装及装修工程的新建、扩建、改建以及矿山建设等。本项目安全生产费按建安费的1.5%计取。</w:t>
      </w:r>
    </w:p>
    <w:p w14:paraId="2B737904">
      <w:pPr>
        <w:keepNext w:val="0"/>
        <w:keepLines w:val="0"/>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textAlignment w:val="auto"/>
        <w:outlineLvl w:val="1"/>
        <w:rPr>
          <w:rFonts w:hint="eastAsia" w:ascii="宋体" w:hAnsi="宋体" w:eastAsia="宋体" w:cs="宋体"/>
          <w:b/>
          <w:bCs/>
          <w:color w:val="auto"/>
          <w:kern w:val="2"/>
          <w:sz w:val="24"/>
          <w:szCs w:val="24"/>
          <w:lang w:val="en-US" w:eastAsia="zh-CN" w:bidi="ar-SA"/>
        </w:rPr>
      </w:pPr>
      <w:bookmarkStart w:id="356" w:name="_Toc27194"/>
      <w:r>
        <w:rPr>
          <w:rFonts w:hint="eastAsia" w:ascii="宋体" w:hAnsi="宋体" w:eastAsia="宋体" w:cs="宋体"/>
          <w:b/>
          <w:bCs/>
          <w:color w:val="auto"/>
          <w:kern w:val="2"/>
          <w:sz w:val="24"/>
          <w:szCs w:val="24"/>
          <w:lang w:val="en-US" w:eastAsia="zh-CN" w:bidi="ar-SA"/>
        </w:rPr>
        <w:t>5.</w:t>
      </w:r>
      <w:bookmarkStart w:id="357" w:name="_Toc110456679"/>
      <w:bookmarkStart w:id="358" w:name="_Toc91064161"/>
      <w:bookmarkStart w:id="359" w:name="_Toc65184889"/>
      <w:r>
        <w:rPr>
          <w:rFonts w:hint="eastAsia" w:ascii="宋体" w:hAnsi="宋体" w:eastAsia="宋体" w:cs="宋体"/>
          <w:b/>
          <w:bCs/>
          <w:color w:val="auto"/>
          <w:kern w:val="2"/>
          <w:sz w:val="24"/>
          <w:szCs w:val="24"/>
          <w:lang w:val="en-US" w:eastAsia="zh-CN" w:bidi="ar-SA"/>
        </w:rPr>
        <w:t>2资金筹措及投资计划</w:t>
      </w:r>
      <w:bookmarkEnd w:id="356"/>
      <w:bookmarkEnd w:id="357"/>
      <w:bookmarkEnd w:id="358"/>
      <w:bookmarkEnd w:id="359"/>
    </w:p>
    <w:p w14:paraId="1FADDB35">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rPr>
      </w:pPr>
      <w:bookmarkStart w:id="360" w:name="_Toc105623167"/>
      <w:bookmarkStart w:id="361" w:name="_Toc26637"/>
      <w:r>
        <w:rPr>
          <w:rFonts w:hint="eastAsia" w:ascii="宋体" w:hAnsi="宋体" w:eastAsia="宋体" w:cs="宋体"/>
          <w:color w:val="auto"/>
          <w:kern w:val="2"/>
          <w:sz w:val="24"/>
          <w:szCs w:val="24"/>
        </w:rPr>
        <w:t>本项目所用资金来源为财政拔款。</w:t>
      </w:r>
    </w:p>
    <w:p w14:paraId="5181BF87">
      <w:pPr>
        <w:keepNext w:val="0"/>
        <w:keepLines w:val="0"/>
        <w:pageBreakBefore w:val="0"/>
        <w:widowControl w:val="0"/>
        <w:tabs>
          <w:tab w:val="left" w:pos="9240"/>
        </w:tabs>
        <w:kinsoku/>
        <w:wordWrap/>
        <w:overflowPunct/>
        <w:topLinePunct w:val="0"/>
        <w:autoSpaceDE/>
        <w:autoSpaceDN/>
        <w:bidi w:val="0"/>
        <w:adjustRightInd/>
        <w:snapToGrid/>
        <w:spacing w:before="340" w:after="330" w:line="400" w:lineRule="exact"/>
        <w:ind w:firstLine="482" w:firstLineChars="200"/>
        <w:jc w:val="left"/>
        <w:textAlignment w:val="auto"/>
        <w:outlineLvl w:val="0"/>
        <w:rPr>
          <w:rFonts w:hint="eastAsia" w:ascii="宋体" w:hAnsi="宋体" w:eastAsia="宋体" w:cs="宋体"/>
          <w:b/>
          <w:bCs/>
          <w:color w:val="auto"/>
          <w:kern w:val="44"/>
          <w:sz w:val="24"/>
          <w:szCs w:val="24"/>
          <w:lang w:val="en-US" w:eastAsia="zh-CN" w:bidi="ar-SA"/>
        </w:rPr>
      </w:pPr>
      <w:r>
        <w:rPr>
          <w:rFonts w:hint="eastAsia" w:ascii="宋体" w:hAnsi="宋体" w:eastAsia="宋体" w:cs="宋体"/>
          <w:b/>
          <w:bCs/>
          <w:color w:val="auto"/>
          <w:kern w:val="44"/>
          <w:sz w:val="24"/>
          <w:szCs w:val="24"/>
          <w:lang w:val="en-US" w:eastAsia="zh-CN" w:bidi="ar-SA"/>
        </w:rPr>
        <w:t>六 环保、消防、职业安全卫生和节能措施</w:t>
      </w:r>
      <w:bookmarkEnd w:id="360"/>
      <w:bookmarkEnd w:id="361"/>
    </w:p>
    <w:p w14:paraId="088B8351">
      <w:pPr>
        <w:keepNext w:val="0"/>
        <w:keepLines w:val="0"/>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textAlignment w:val="auto"/>
        <w:outlineLvl w:val="2"/>
        <w:rPr>
          <w:rFonts w:hint="eastAsia" w:ascii="宋体" w:hAnsi="宋体" w:eastAsia="宋体" w:cs="宋体"/>
          <w:b/>
          <w:bCs/>
          <w:color w:val="auto"/>
          <w:kern w:val="2"/>
          <w:sz w:val="24"/>
          <w:szCs w:val="24"/>
          <w:lang w:val="en-US" w:eastAsia="zh-CN" w:bidi="ar-SA"/>
        </w:rPr>
      </w:pPr>
      <w:bookmarkStart w:id="362" w:name="_Toc2387"/>
      <w:bookmarkStart w:id="363" w:name="_Toc103953578"/>
      <w:bookmarkStart w:id="364" w:name="_Toc105623168"/>
      <w:bookmarkStart w:id="365" w:name="_Toc103952707"/>
      <w:r>
        <w:rPr>
          <w:rFonts w:hint="eastAsia" w:ascii="宋体" w:hAnsi="宋体" w:eastAsia="宋体" w:cs="宋体"/>
          <w:b/>
          <w:bCs/>
          <w:color w:val="auto"/>
          <w:kern w:val="2"/>
          <w:sz w:val="24"/>
          <w:szCs w:val="24"/>
          <w:lang w:val="en-US" w:eastAsia="zh-CN" w:bidi="ar-SA"/>
        </w:rPr>
        <w:t>6.1 环境保护</w:t>
      </w:r>
      <w:bookmarkEnd w:id="362"/>
      <w:bookmarkEnd w:id="363"/>
      <w:bookmarkEnd w:id="364"/>
      <w:bookmarkEnd w:id="365"/>
      <w:r>
        <w:rPr>
          <w:rFonts w:hint="eastAsia" w:ascii="宋体" w:hAnsi="宋体" w:eastAsia="宋体" w:cs="宋体"/>
          <w:b/>
          <w:bCs/>
          <w:color w:val="auto"/>
          <w:kern w:val="2"/>
          <w:sz w:val="24"/>
          <w:szCs w:val="24"/>
          <w:lang w:val="en-US" w:eastAsia="zh-CN" w:bidi="ar-SA"/>
        </w:rPr>
        <w:t xml:space="preserve"> </w:t>
      </w:r>
    </w:p>
    <w:p w14:paraId="216188B7">
      <w:pPr>
        <w:keepNext w:val="0"/>
        <w:keepLines w:val="0"/>
        <w:pageBreakBefore w:val="0"/>
        <w:widowControl w:val="0"/>
        <w:tabs>
          <w:tab w:val="left" w:pos="0"/>
          <w:tab w:val="left" w:pos="924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rPr>
          <w:rFonts w:hint="eastAsia" w:ascii="宋体" w:hAnsi="宋体" w:eastAsia="宋体" w:cs="宋体"/>
          <w:color w:val="auto"/>
          <w:kern w:val="2"/>
          <w:sz w:val="24"/>
          <w:szCs w:val="24"/>
          <w:lang w:eastAsia="zh-CN"/>
        </w:rPr>
        <w:t>。</w:t>
      </w:r>
    </w:p>
    <w:p w14:paraId="0B61E44C">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66" w:name="_Toc105623169"/>
      <w:bookmarkStart w:id="367" w:name="_Toc25841"/>
      <w:bookmarkStart w:id="368" w:name="_Toc103953579"/>
      <w:r>
        <w:rPr>
          <w:rFonts w:hint="eastAsia" w:ascii="宋体" w:hAnsi="宋体" w:eastAsia="宋体" w:cs="宋体"/>
          <w:b/>
          <w:bCs/>
          <w:color w:val="auto"/>
          <w:kern w:val="2"/>
          <w:sz w:val="24"/>
          <w:szCs w:val="24"/>
          <w:lang w:val="en-US" w:eastAsia="zh-CN" w:bidi="ar-SA"/>
        </w:rPr>
        <w:t>6.1.1 光污染控制</w:t>
      </w:r>
      <w:bookmarkEnd w:id="366"/>
      <w:bookmarkEnd w:id="367"/>
      <w:bookmarkEnd w:id="368"/>
    </w:p>
    <w:p w14:paraId="5914F1A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1、尽量避免或减少施工过程中的光污染。夜间室外照明灯加设灯罩，透光方向集中在施工范围。</w:t>
      </w:r>
    </w:p>
    <w:p w14:paraId="1E47722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2、电焊作业采取遮挡措施，避免电焊弧光外泄。</w:t>
      </w:r>
    </w:p>
    <w:p w14:paraId="4E8C1DA5">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69" w:name="_Toc105623170"/>
      <w:bookmarkStart w:id="370" w:name="_Toc103953580"/>
      <w:bookmarkStart w:id="371" w:name="_Toc9400"/>
      <w:r>
        <w:rPr>
          <w:rFonts w:hint="eastAsia" w:ascii="宋体" w:hAnsi="宋体" w:eastAsia="宋体" w:cs="宋体"/>
          <w:b/>
          <w:bCs/>
          <w:color w:val="auto"/>
          <w:kern w:val="2"/>
          <w:sz w:val="24"/>
          <w:szCs w:val="24"/>
          <w:lang w:val="en-US" w:eastAsia="zh-CN" w:bidi="ar-SA"/>
        </w:rPr>
        <w:t>6.1.2 废水、废气污染控制</w:t>
      </w:r>
      <w:bookmarkEnd w:id="369"/>
      <w:bookmarkEnd w:id="370"/>
      <w:bookmarkEnd w:id="371"/>
    </w:p>
    <w:p w14:paraId="7ABF1EA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本项目为信息系统工程，项目建设将依托现有基础设施，不涉及新增的土建项目，系统建成运行后不会产生工业废水、废气等污染物。</w:t>
      </w:r>
    </w:p>
    <w:p w14:paraId="7ABA16F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项目用水环节主要是系统维护人员生活污水。生活污水由现有污水收集管网收集后，进入市政污水处理管网。</w:t>
      </w:r>
    </w:p>
    <w:p w14:paraId="1AFF31F3">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72" w:name="_Toc31407"/>
      <w:bookmarkStart w:id="373" w:name="_Toc103953581"/>
      <w:bookmarkStart w:id="374" w:name="_Toc105623171"/>
      <w:r>
        <w:rPr>
          <w:rFonts w:hint="eastAsia" w:ascii="宋体" w:hAnsi="宋体" w:eastAsia="宋体" w:cs="宋体"/>
          <w:b/>
          <w:bCs/>
          <w:color w:val="auto"/>
          <w:kern w:val="2"/>
          <w:sz w:val="24"/>
          <w:szCs w:val="24"/>
          <w:lang w:val="en-US" w:eastAsia="zh-CN" w:bidi="ar-SA"/>
        </w:rPr>
        <w:t>6.1.3 噪声控制</w:t>
      </w:r>
      <w:bookmarkEnd w:id="372"/>
      <w:bookmarkEnd w:id="373"/>
      <w:bookmarkEnd w:id="374"/>
    </w:p>
    <w:p w14:paraId="3D1002E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1、信息化建设项目在城市市区范围内向周围生活环境排放的建筑施工噪声，应当符合GB 12523《建筑施工场界环境噪声排放标准》的规定，并符合当地环保部门的相关要求。</w:t>
      </w:r>
    </w:p>
    <w:p w14:paraId="5459C47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2、在城市范围内的机房，向周围生活环境排放噪声的，应符合GB 12348《工业企业厂界环境噪声排放标准》的相关要求。</w:t>
      </w:r>
    </w:p>
    <w:p w14:paraId="2FEF576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3、根据《通信工程建设环境保护技术暂行规定》规定：必须保持防治环境噪声污染的设施正常使用，拆除或闲置环境噪声污染防治设施应报环境保护行政主管部门批准。</w:t>
      </w:r>
    </w:p>
    <w:p w14:paraId="7ACFFBFE">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75" w:name="_Toc105623172"/>
      <w:bookmarkStart w:id="376" w:name="_Toc20824"/>
      <w:bookmarkStart w:id="377" w:name="_Toc103953582"/>
      <w:r>
        <w:rPr>
          <w:rFonts w:hint="eastAsia" w:ascii="宋体" w:hAnsi="宋体" w:eastAsia="宋体" w:cs="宋体"/>
          <w:b/>
          <w:bCs/>
          <w:color w:val="auto"/>
          <w:kern w:val="2"/>
          <w:sz w:val="24"/>
          <w:szCs w:val="24"/>
          <w:lang w:val="en-US" w:eastAsia="zh-CN" w:bidi="ar-SA"/>
        </w:rPr>
        <w:t>6.1.4 电磁辐射</w:t>
      </w:r>
      <w:bookmarkEnd w:id="375"/>
      <w:bookmarkEnd w:id="376"/>
      <w:bookmarkEnd w:id="377"/>
    </w:p>
    <w:p w14:paraId="1603E91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本期工程产生电磁辐射主要为网络设备、服务器和计算机等设备，带来的电磁辐射。本期使用设备电磁辐射能够满足GB 8702-2014《电磁环境控制限值》的相关要求，不产生电磁辐射危害。</w:t>
      </w:r>
    </w:p>
    <w:p w14:paraId="1641C5F7">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78" w:name="_Toc103953583"/>
      <w:bookmarkStart w:id="379" w:name="_Toc105623173"/>
      <w:bookmarkStart w:id="380" w:name="_Toc14948"/>
      <w:r>
        <w:rPr>
          <w:rFonts w:hint="eastAsia" w:ascii="宋体" w:hAnsi="宋体" w:eastAsia="宋体" w:cs="宋体"/>
          <w:b/>
          <w:bCs/>
          <w:color w:val="auto"/>
          <w:kern w:val="2"/>
          <w:sz w:val="24"/>
          <w:szCs w:val="24"/>
          <w:lang w:val="en-US" w:eastAsia="zh-CN" w:bidi="ar-SA"/>
        </w:rPr>
        <w:t>6.1.5 固体废弃物回收和处置</w:t>
      </w:r>
      <w:bookmarkEnd w:id="378"/>
      <w:bookmarkEnd w:id="379"/>
      <w:bookmarkEnd w:id="380"/>
    </w:p>
    <w:p w14:paraId="484ADDC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1、工程建设单位和施工单位应采取措施，防止或减少固体废物对环境的污染，施工单位应及时清运施工工程中产生的固体废弃物，并按照环境卫生行政主管部门的规定进行利用或处置。</w:t>
      </w:r>
    </w:p>
    <w:p w14:paraId="0613413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2、严禁向江河、湖波、运河、渠道、水库及最高水位线以下的滩地和岸坡倾倒、堆放固体废弃物。</w:t>
      </w:r>
    </w:p>
    <w:p w14:paraId="3A20549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3、废旧电池、废矿物油、含汞废日光灯等毒性大、不宜用通用方式进行管理和处置的特殊危险废物，应与生活垃圾分类收集、妥善贮存、安全处置。</w:t>
      </w:r>
    </w:p>
    <w:p w14:paraId="479C38F5">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81" w:name="_Toc5149"/>
      <w:bookmarkStart w:id="382" w:name="_Toc103952708"/>
      <w:bookmarkStart w:id="383" w:name="_Toc105623174"/>
      <w:bookmarkStart w:id="384" w:name="_Toc103953584"/>
      <w:r>
        <w:rPr>
          <w:rFonts w:hint="eastAsia" w:ascii="宋体" w:hAnsi="宋体" w:eastAsia="宋体" w:cs="宋体"/>
          <w:b/>
          <w:bCs/>
          <w:color w:val="auto"/>
          <w:kern w:val="2"/>
          <w:sz w:val="24"/>
          <w:szCs w:val="24"/>
          <w:lang w:val="en-US" w:eastAsia="zh-CN" w:bidi="ar-SA"/>
        </w:rPr>
        <w:t>6.2 绿色节能</w:t>
      </w:r>
      <w:bookmarkEnd w:id="381"/>
      <w:bookmarkEnd w:id="382"/>
      <w:bookmarkEnd w:id="383"/>
      <w:bookmarkEnd w:id="384"/>
    </w:p>
    <w:p w14:paraId="0301317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p>
    <w:p w14:paraId="216E339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bookmarkStart w:id="385" w:name="_Toc41924965"/>
      <w:r>
        <w:rPr>
          <w:rFonts w:hint="eastAsia" w:ascii="宋体" w:hAnsi="宋体" w:eastAsia="宋体" w:cs="宋体"/>
          <w:color w:val="auto"/>
          <w:kern w:val="2"/>
          <w:sz w:val="24"/>
          <w:szCs w:val="24"/>
        </w:rPr>
        <w:t>本期设计</w:t>
      </w:r>
      <w:bookmarkEnd w:id="385"/>
      <w:r>
        <w:rPr>
          <w:rFonts w:hint="eastAsia" w:ascii="宋体" w:hAnsi="宋体" w:eastAsia="宋体" w:cs="宋体"/>
          <w:color w:val="auto"/>
          <w:kern w:val="2"/>
          <w:sz w:val="24"/>
          <w:szCs w:val="24"/>
        </w:rPr>
        <w:t>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p>
    <w:p w14:paraId="7F14AC42">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86" w:name="_Toc103953585"/>
      <w:bookmarkStart w:id="387" w:name="_Toc29834"/>
      <w:bookmarkStart w:id="388" w:name="_Toc105623175"/>
      <w:r>
        <w:rPr>
          <w:rFonts w:hint="eastAsia" w:ascii="宋体" w:hAnsi="宋体" w:eastAsia="宋体" w:cs="宋体"/>
          <w:b/>
          <w:bCs/>
          <w:color w:val="auto"/>
          <w:kern w:val="2"/>
          <w:sz w:val="24"/>
          <w:szCs w:val="24"/>
          <w:lang w:val="en-US" w:eastAsia="zh-CN" w:bidi="ar-SA"/>
        </w:rPr>
        <w:t>6.2.1 设备选择及选型要求</w:t>
      </w:r>
      <w:bookmarkEnd w:id="386"/>
      <w:bookmarkEnd w:id="387"/>
      <w:bookmarkEnd w:id="388"/>
    </w:p>
    <w:p w14:paraId="59B57AE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设备选择应遵循节能、节材、节地、环保的原则。主设备选型时应符合以下绿色节能要求：</w:t>
      </w:r>
    </w:p>
    <w:p w14:paraId="7C10D5E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1、在满足技术和服务指标的前提下，宜优先选用高度集成化、低功耗、高能效比、具有智能节电功能的设备。</w:t>
      </w:r>
    </w:p>
    <w:p w14:paraId="5728097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2、在满足设备正常运行、维护要求的基础上，优先选用自然散热产品，减少风扇的使用。</w:t>
      </w:r>
    </w:p>
    <w:p w14:paraId="3E49405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3、在满足运输安全的前提下，优先选择包装材料轻、绿色环保包装材料，避免过度包装。</w:t>
      </w:r>
    </w:p>
    <w:p w14:paraId="009FC62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4、在保证网络安全的前提下，适时引入新技术，优化网络设计，简化网络结构，提高网络利用率，避免设备闲置。</w:t>
      </w:r>
    </w:p>
    <w:p w14:paraId="3E66BB4D">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89" w:name="_Toc17898"/>
      <w:bookmarkStart w:id="390" w:name="_Toc103953586"/>
      <w:bookmarkStart w:id="391" w:name="_Toc103952709"/>
      <w:bookmarkStart w:id="392" w:name="_Toc105623176"/>
      <w:r>
        <w:rPr>
          <w:rFonts w:hint="eastAsia" w:ascii="宋体" w:hAnsi="宋体" w:eastAsia="宋体" w:cs="宋体"/>
          <w:b/>
          <w:bCs/>
          <w:color w:val="auto"/>
          <w:kern w:val="2"/>
          <w:sz w:val="24"/>
          <w:szCs w:val="24"/>
          <w:lang w:val="en-US" w:eastAsia="zh-CN" w:bidi="ar-SA"/>
        </w:rPr>
        <w:t>6.3 职业安全卫生</w:t>
      </w:r>
      <w:bookmarkEnd w:id="389"/>
      <w:bookmarkEnd w:id="390"/>
      <w:bookmarkEnd w:id="391"/>
      <w:bookmarkEnd w:id="392"/>
    </w:p>
    <w:p w14:paraId="13544EA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p>
    <w:p w14:paraId="51DC9F5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93" w:name="_Toc105623177"/>
      <w:bookmarkStart w:id="394" w:name="_Toc1923"/>
      <w:bookmarkStart w:id="395" w:name="_Toc103953587"/>
      <w:r>
        <w:rPr>
          <w:rFonts w:hint="eastAsia" w:ascii="宋体" w:hAnsi="宋体" w:eastAsia="宋体" w:cs="宋体"/>
          <w:b/>
          <w:bCs/>
          <w:color w:val="auto"/>
          <w:kern w:val="2"/>
          <w:sz w:val="24"/>
          <w:szCs w:val="24"/>
          <w:lang w:val="en-US" w:eastAsia="zh-CN" w:bidi="ar-SA"/>
        </w:rPr>
        <w:t>6.3.1 职业安全卫生主要影响因素</w:t>
      </w:r>
      <w:bookmarkEnd w:id="393"/>
      <w:bookmarkEnd w:id="394"/>
      <w:bookmarkEnd w:id="395"/>
    </w:p>
    <w:p w14:paraId="32CF9FE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bookmarkStart w:id="396" w:name="_Toc41924976"/>
      <w:r>
        <w:rPr>
          <w:rFonts w:hint="eastAsia" w:ascii="宋体" w:hAnsi="宋体" w:eastAsia="宋体" w:cs="宋体"/>
          <w:color w:val="auto"/>
          <w:kern w:val="2"/>
          <w:sz w:val="24"/>
          <w:szCs w:val="24"/>
        </w:rPr>
        <w:t>本项目主要涉及信息化机房施工作业和信息化系统运营，涉及主要的职业卫生安全因素如下：</w:t>
      </w:r>
    </w:p>
    <w:p w14:paraId="1645508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1、机房环境布置、洁净度、新风量等不符合要求产生对人员、设备相关危害；</w:t>
      </w:r>
    </w:p>
    <w:p w14:paraId="79656E3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2、工程施工安全，包括用电安全、高处作业安全、交通安全、器材搬运安全等</w:t>
      </w:r>
    </w:p>
    <w:p w14:paraId="385B94A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3、信息化设备产生的电磁波辐射，对人员和环境的影响</w:t>
      </w:r>
    </w:p>
    <w:p w14:paraId="7E5220F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4、工程施工产生噪声影响、设备运行过程产生的噪声影响</w:t>
      </w:r>
    </w:p>
    <w:p w14:paraId="5D6C2D4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5、系统运行过程静电干扰产生的危害</w:t>
      </w:r>
    </w:p>
    <w:bookmarkEnd w:id="396"/>
    <w:p w14:paraId="1909C202">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397" w:name="_Toc14459"/>
      <w:bookmarkStart w:id="398" w:name="_Toc105623178"/>
      <w:bookmarkStart w:id="399" w:name="_Toc103953588"/>
      <w:r>
        <w:rPr>
          <w:rFonts w:hint="eastAsia" w:ascii="宋体" w:hAnsi="宋体" w:eastAsia="宋体" w:cs="宋体"/>
          <w:b/>
          <w:bCs/>
          <w:color w:val="auto"/>
          <w:kern w:val="2"/>
          <w:sz w:val="24"/>
          <w:szCs w:val="24"/>
          <w:lang w:val="en-US" w:eastAsia="zh-CN" w:bidi="ar-SA"/>
        </w:rPr>
        <w:t>6.3.2 噪声控制</w:t>
      </w:r>
      <w:bookmarkEnd w:id="397"/>
      <w:bookmarkEnd w:id="398"/>
      <w:bookmarkEnd w:id="399"/>
    </w:p>
    <w:p w14:paraId="0021C1B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1、设备运行所产生的噪声应符合相关产品标准的规定；高噪声设备宜配备隔声设施</w:t>
      </w:r>
    </w:p>
    <w:p w14:paraId="63416AF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2、所有设备停机时，机房内的噪声应小于60 dB（A）。</w:t>
      </w:r>
    </w:p>
    <w:p w14:paraId="0E75652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3、所有对外的噪声应满足GB 3096的规定值要求。</w:t>
      </w:r>
    </w:p>
    <w:p w14:paraId="7A77938B">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400" w:name="_Toc105623179"/>
      <w:bookmarkStart w:id="401" w:name="_Toc103953589"/>
      <w:bookmarkStart w:id="402" w:name="_Toc16244"/>
      <w:r>
        <w:rPr>
          <w:rFonts w:hint="eastAsia" w:ascii="宋体" w:hAnsi="宋体" w:eastAsia="宋体" w:cs="宋体"/>
          <w:b/>
          <w:bCs/>
          <w:color w:val="auto"/>
          <w:kern w:val="2"/>
          <w:sz w:val="24"/>
          <w:szCs w:val="24"/>
          <w:lang w:val="en-US" w:eastAsia="zh-CN" w:bidi="ar-SA"/>
        </w:rPr>
        <w:t>6.3.3 电辐射</w:t>
      </w:r>
      <w:bookmarkEnd w:id="400"/>
      <w:bookmarkEnd w:id="401"/>
      <w:bookmarkEnd w:id="402"/>
    </w:p>
    <w:p w14:paraId="4D4C6C5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本期新建或扩容设备符合国家质量标准，设备运行产生的辐射符合国家行业标准要求，对人体和环境不产生危害影响</w:t>
      </w:r>
    </w:p>
    <w:p w14:paraId="691616D0">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403" w:name="_Toc11095"/>
      <w:bookmarkStart w:id="404" w:name="_Toc103953590"/>
      <w:bookmarkStart w:id="405" w:name="_Toc105623180"/>
      <w:r>
        <w:rPr>
          <w:rFonts w:hint="eastAsia" w:ascii="宋体" w:hAnsi="宋体" w:eastAsia="宋体" w:cs="宋体"/>
          <w:b/>
          <w:bCs/>
          <w:color w:val="auto"/>
          <w:kern w:val="2"/>
          <w:sz w:val="24"/>
          <w:szCs w:val="24"/>
          <w:lang w:val="en-US" w:eastAsia="zh-CN" w:bidi="ar-SA"/>
        </w:rPr>
        <w:t>6.3.4 安全生产</w:t>
      </w:r>
      <w:bookmarkEnd w:id="403"/>
      <w:bookmarkEnd w:id="404"/>
      <w:bookmarkEnd w:id="405"/>
    </w:p>
    <w:p w14:paraId="13BA052A">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6.3.4.1 工程安全管理组织</w:t>
      </w:r>
    </w:p>
    <w:p w14:paraId="3A6F8D8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通信建设施工企业在施工生产中，以下几方面必须符合国家法律、法规相关规定：</w:t>
      </w:r>
    </w:p>
    <w:p w14:paraId="13D449B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施工企业资质及安全生产许可证情况；</w:t>
      </w:r>
    </w:p>
    <w:p w14:paraId="27F439E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施工单位安全生产管理机构设置情况；</w:t>
      </w:r>
    </w:p>
    <w:p w14:paraId="4BB5986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施工单位的主要负责人、项目负责人、专职安全生产管理人员、特种作业人员任职或上岗条件；</w:t>
      </w:r>
    </w:p>
    <w:p w14:paraId="386A5EA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施工单位主要负责人、项目负责人、专职安全生产管理人员的职责；</w:t>
      </w:r>
    </w:p>
    <w:p w14:paraId="6CA9E25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施工人员的权利和义务。</w:t>
      </w:r>
    </w:p>
    <w:p w14:paraId="090B27B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工程安全管理组织</w:t>
      </w:r>
    </w:p>
    <w:p w14:paraId="28F9465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建设单位要根据相关法律、法规规定，设置安全生产管理机构或者配备专职（或兼职）安全生产管理人员。</w:t>
      </w:r>
    </w:p>
    <w:p w14:paraId="758BC64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新建、改建、扩建工程项目的安全生产设施必须要与主体工程同时设计、同时施工、同时投产使用。</w:t>
      </w:r>
    </w:p>
    <w:p w14:paraId="3BDB53E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工程监理要严格按安全生产专篇要求实施安全监督和管理。</w:t>
      </w:r>
    </w:p>
    <w:p w14:paraId="0842879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工程施工要严格按安全生产专篇要求，对施工人员要进行安全教育和培训，落实安全防护措施和安全经费。</w:t>
      </w:r>
    </w:p>
    <w:p w14:paraId="0497BA3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单位在施工前应对施工作业现场的作业环境进行勘查，并制定相应的安全生产和文明施工的防范措施，加强施工现场安全管理和检查。</w:t>
      </w:r>
    </w:p>
    <w:p w14:paraId="407656D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施工单位必须严禁使用未取得有关部门颁发的《特种作业人员岗位操作证》的人员从事特种作业，禁止使用未经上岗培训的人员上岗作业。</w:t>
      </w:r>
    </w:p>
    <w:p w14:paraId="055D690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施工单位必须保证施工现场安全措施费用和施工人员的安全生产用品的落实。</w:t>
      </w:r>
    </w:p>
    <w:p w14:paraId="6911E52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建设项目竣工投产前，其安全设施必须经安全部门验收合格。</w:t>
      </w:r>
    </w:p>
    <w:p w14:paraId="1038F83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p>
    <w:p w14:paraId="294119A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企业主要负责人、工程项目负责人和专职安全员应对建设工程项目的安全施工负责。当发生安全事故时，应及时、如实地报告。</w:t>
      </w:r>
    </w:p>
    <w:p w14:paraId="6442B97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工程项目施工必须实行安全技术逐级交底制度，纵向延伸到全体作业人员。</w:t>
      </w:r>
    </w:p>
    <w:p w14:paraId="7CA49C5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p>
    <w:p w14:paraId="5DD7D68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发生任何事故，必须及时逐级上报。报告的内容应包括事故发生的单位、时间、地点、简要事故经过、伤亡人数、财产损失情况和已采取的应急措施等。报告人应适时作出书面记录。</w:t>
      </w:r>
    </w:p>
    <w:p w14:paraId="30ED4BA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项目负责人接到事故报告后，应迅速采取有效措施，积极组织救护、抢险，减少人员伤亡和财产损失，防止事故继续扩大，并立即报告安全生产主管部门或上级应急指挥中心。</w:t>
      </w:r>
    </w:p>
    <w:p w14:paraId="1BB97E3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设备安装前须检查：机房荷载、消防、抗震、接地的证明。</w:t>
      </w:r>
    </w:p>
    <w:p w14:paraId="0A1831C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当施工作业可能对毗邻设备、管线等造成损害时，监理工程师应要求承包单位采取防护措施。</w:t>
      </w:r>
    </w:p>
    <w:p w14:paraId="03C6B13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监理工程师应要求承包单位在施工现场设置符合规定的安全警示标志，暂停施工时应做好现场防护，对施工时产生的噪音、粉尘、废物、振动及照明等对人和环境可能造成危害和污染时，要采取环境保护措施。</w:t>
      </w:r>
    </w:p>
    <w:p w14:paraId="66D61EB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在运行中的通信设备机架内或设备旁进行安装作业时，监理工程师应督促承包单位提前制定好带电作业的安全防护措施，在安装施工过程中，监理人员、维护人员必须旁站监督，防止安全事故的发生。</w:t>
      </w:r>
    </w:p>
    <w:p w14:paraId="583BC3D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工程项目施工必须实行安全技术交底制度，接受交底的人员必须覆盖全体作业人员。</w:t>
      </w:r>
    </w:p>
    <w:p w14:paraId="1509783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p>
    <w:p w14:paraId="58D9FEE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p>
    <w:p w14:paraId="20FFCBF9">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6.3.4.2 施工现场安全</w:t>
      </w:r>
    </w:p>
    <w:p w14:paraId="33C950D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在城镇交人员密集处施工时必须设置有关部门规定的警示标志，必要时派专人警戒看守。</w:t>
      </w:r>
    </w:p>
    <w:p w14:paraId="6F14A7F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施工现场的安全警示标志和防护设施应随工作地点的变动而转移，作业完毕应及时撤除、清理干净。</w:t>
      </w:r>
    </w:p>
    <w:p w14:paraId="7A3BF50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施工人员应阻止非工作人员进人施工作业区，接近或触碰正在施工运行中的各种机具与设施。</w:t>
      </w:r>
    </w:p>
    <w:p w14:paraId="42792C4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在城镇和居民区内施工有噪音扰民时，应采取防止或减轻噪音扰民的措施，并在相关部门规定时间内施工。需要在夜间或在禁止时间内施工的，应报请有关单位和部门批准。</w:t>
      </w:r>
    </w:p>
    <w:p w14:paraId="70D5BE6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从事高处作业的施工人员，必须正确使用安全带、安全帽。</w:t>
      </w:r>
    </w:p>
    <w:p w14:paraId="1565A9F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从事高处作业的人员应定期进行健康检查，如发现身体不适合高处作业时，不得从事这一工作。</w:t>
      </w:r>
    </w:p>
    <w:p w14:paraId="631D3C6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高处作业时，所用工具、材料应放置稳妥，不得扔抛工具或材料。</w:t>
      </w:r>
    </w:p>
    <w:p w14:paraId="3D430DF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施工现场有两个以上施工单位施工时，建设单位应明确各方的安全职责，对施工现场实行统一管理。</w:t>
      </w:r>
    </w:p>
    <w:p w14:paraId="123E4891">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6.3.4.3 施工驻地安全</w:t>
      </w:r>
    </w:p>
    <w:p w14:paraId="2EE6248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临时搭建的员工办公室等设施必须安全、牢固、符合消防安全规定，严禁使用易燃材料搭建临时设施。临时设施严禁靠近电力设施，与高压架空电线的水平距离必须符合相关规定。</w:t>
      </w:r>
    </w:p>
    <w:p w14:paraId="32572C7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施工驻地应按规定配备消防设施，设置安全通道。</w:t>
      </w:r>
    </w:p>
    <w:p w14:paraId="1E064E03">
      <w:pPr>
        <w:pageBreakBefore w:val="0"/>
        <w:tabs>
          <w:tab w:val="left" w:pos="0"/>
          <w:tab w:val="left" w:pos="9240"/>
        </w:tabs>
        <w:kinsoku/>
        <w:wordWrap/>
        <w:overflowPunct/>
        <w:topLinePunct w:val="0"/>
        <w:autoSpaceDE/>
        <w:autoSpaceDN/>
        <w:bidi w:val="0"/>
        <w:adjustRightInd/>
        <w:snapToGrid/>
        <w:spacing w:line="400" w:lineRule="exact"/>
        <w:ind w:firstLine="482" w:firstLineChars="200"/>
        <w:jc w:val="left"/>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6.3.4.4 施工现场用电安全要求</w:t>
      </w:r>
    </w:p>
    <w:p w14:paraId="73EC2FB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工作业应由二人以上配合进行，并由持证人员操作，并按规定穿绝缘鞋，带绝缘手套，使用绝缘工具。在带电的设备、头柜、分支柜中操作时，不得佩戴金属饰物，并采取有效措施防止螺丝钉、垫片、金属屑等金属材料掉落。</w:t>
      </w:r>
    </w:p>
    <w:p w14:paraId="2FBE4D3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操作电器装置应熟悉其性能和使用方法，不得任意开动电源装置，严禁在电源装置上放置物件，施工人员需在施工授权范围内操作，不得超出范围进行操作。</w:t>
      </w:r>
    </w:p>
    <w:p w14:paraId="432C950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在低压作业中，人体及其所携带工具与带电体的距离不应小于0.1m。</w:t>
      </w:r>
    </w:p>
    <w:p w14:paraId="3CDE945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施工现场用电线路应采用绝缘护套导线。</w:t>
      </w:r>
    </w:p>
    <w:p w14:paraId="33A723A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检修各类配电箱、开关箱、电气设备和电力工具时，必须切断电源。在总配线箱或者分配线箱一侧悬挂“检修设备请勿合闸”警示标牌，必要时设专人看管。</w:t>
      </w:r>
    </w:p>
    <w:p w14:paraId="603ED7D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用电设备的总功率不得超过供电负荷。</w:t>
      </w:r>
    </w:p>
    <w:p w14:paraId="5CE6B8C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设备加电测试</w:t>
      </w:r>
    </w:p>
    <w:p w14:paraId="5A5D03D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1、设备在加电前应进行检查以下内容:设备内不得有金属碎屑，电源正负极不得接反和短路，设备保护地线应引接良好，各级电源熔断器和空气开关规格应符合设计和设备的技术要求。</w:t>
      </w:r>
    </w:p>
    <w:p w14:paraId="00A1DA9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2、设备加电时，操作人员必须穿戴绝缘鞋、绝缘手套，使用绝缘工具，并应由2人互相配合，沿电流方向逐级加电，逐级测量并留存测试记录。</w:t>
      </w:r>
    </w:p>
    <w:p w14:paraId="4DE2B55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3、插拔板卡、模块时应配戴接地良好的防静电手环。</w:t>
      </w:r>
    </w:p>
    <w:p w14:paraId="0ED04A7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4、插拔电源熔断器应使用专用工具，不得用其他工具代替。</w:t>
      </w:r>
    </w:p>
    <w:p w14:paraId="703394E8">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6.3.4.5 施工交通安全</w:t>
      </w:r>
    </w:p>
    <w:p w14:paraId="4FCCF4F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p>
    <w:p w14:paraId="2A5302C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车辆行驶时，乘坐人员应注意沿途的电线、树枝及其他障碍物，不得将肢体露于车厢外。车辆停稳后方可上下车。</w:t>
      </w:r>
    </w:p>
    <w:p w14:paraId="04D134D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若需租用车辆，应与车主签订租车协议，明确双方安全责任和义务。</w:t>
      </w:r>
    </w:p>
    <w:p w14:paraId="5D4566B4">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6.3.4.6 器材搬运要求</w:t>
      </w:r>
    </w:p>
    <w:p w14:paraId="455A6AD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1、一般规定</w:t>
      </w:r>
    </w:p>
    <w:p w14:paraId="7726E0F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（1）搬运通信设备、线缆等器材时，使用的杠、绳、链、撬棍、滚筒、滑车、挂钩、绞车（盘）、跳板等搬运工具应有足够的强度。不得使用有破损、腐蚀、腐朽现象的搬运工具。</w:t>
      </w:r>
    </w:p>
    <w:p w14:paraId="25CE0D9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（2）人工挑、抬、扛工作应采取适当的人身安全措施。</w:t>
      </w:r>
    </w:p>
    <w:p w14:paraId="4E30CE3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2、大型设备搬运</w:t>
      </w:r>
    </w:p>
    <w:p w14:paraId="5EAEFDF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（1）装卸大型设备宜采用吊车或叉车。搬运设备时应注意包装箱上的标志，不得倒置。</w:t>
      </w:r>
    </w:p>
    <w:p w14:paraId="5DD5F74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（2）人工搬运时，应有专人指挥，多人合作，步调一致；每人负重男工不得超过40kg，女工不得超过20kg；不得让患有不适于搬运工作疾病者参与搬运工作。</w:t>
      </w:r>
    </w:p>
    <w:p w14:paraId="77B5B49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（3）人工搬运设备上下楼梯时，应按照身高、体力妥善安排位置，负重均匀；急拐弯处要慢行，前后的人应相互照应。</w:t>
      </w:r>
    </w:p>
    <w:p w14:paraId="53FF56A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（4）使用电梯搬运设备上下楼时，宜使用货梯，电梯的大小和承重应满足搬运要求。</w:t>
      </w:r>
    </w:p>
    <w:p w14:paraId="1BACD08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（5）手搬、肩扛没有包装的设备时，应搬、扛设备的牢固部位，不得抓碰布线、盒盖、零部件等不牢固、不能承重的部位。在搬运过程中不得直接将机柜在地面上拖拉、推动。</w:t>
      </w:r>
    </w:p>
    <w:p w14:paraId="54200183">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6.3.4.7 室内设备安装</w:t>
      </w:r>
    </w:p>
    <w:p w14:paraId="58AA405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1、设备开箱时应注意包装箱上的标志，不得倒置。开箱时应使用专用工具，不得猛力敲打包装箱。开箱后应及时清理箱板、铁皮、泡沫等杂物。雨雪、潮湿天气不得在室外开箱。</w:t>
      </w:r>
    </w:p>
    <w:p w14:paraId="3603F5A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2、在机房内搬移设备时，不得损坏地板和其他设备。</w:t>
      </w:r>
    </w:p>
    <w:p w14:paraId="6BB4484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3、在已有运行设备的机房内作业时，应划定施工作业区域，作业人员不得随意触碰已有运行设备，不得随意触碰消防设施。</w:t>
      </w:r>
    </w:p>
    <w:p w14:paraId="6FABB86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4、严禁擅自关断运行设备的电源开关。使用机房原有电源插座时应核实电源容量。</w:t>
      </w:r>
    </w:p>
    <w:p w14:paraId="2EADB6D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5、铁架、槽道、机架、人字梯上不得放置工具和器材。不得脚踩铁架、机架、电缆走道、端子板等设备。</w:t>
      </w:r>
    </w:p>
    <w:p w14:paraId="2672394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6、在运行设备顶部操作时，应对运行设备采取防护措施，避免工具、螺丝等金属物品落入机柜内。</w:t>
      </w:r>
    </w:p>
    <w:p w14:paraId="55C94E0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7、机架安装时，应用膨胀螺栓对地加固。在需要抗震加固的地区，应按设计要求，对机架采取抗震加固措施，机架防雷接地需严格按照机房及设计要求。在已运行的设备旁安装机架时应防止碰撞原有设备。</w:t>
      </w:r>
    </w:p>
    <w:p w14:paraId="78622F1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8、交直流供电设备安装</w:t>
      </w:r>
    </w:p>
    <w:p w14:paraId="1D67515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（1）设备的防雷和保护接地线应安装牢固，接地电阻值应符合要求。</w:t>
      </w:r>
    </w:p>
    <w:p w14:paraId="18B4268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（2）设备安装完毕后，应进行清洁，彻底清除在安装时落入机内的杂物。</w:t>
      </w:r>
    </w:p>
    <w:p w14:paraId="55E15B1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（3）交流配电屏的中性线应与机架绝缘。不得采用中性线做交流保护地线。</w:t>
      </w:r>
    </w:p>
    <w:p w14:paraId="178E022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（4）供电前，需要检查设备内线缆、元器件等连接是否正确、牢固，确认正确后方可供电；交、直流配电屏和其他供电设备前后的地面应铺放绝缘橡胶垫。</w:t>
      </w:r>
    </w:p>
    <w:p w14:paraId="478E85C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（5）电源熔断器及空气开关容量应符合设计要求，插拔电源熔断器应使用专用工具，不得用其他工具代替。</w:t>
      </w:r>
    </w:p>
    <w:p w14:paraId="6D48BFE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（6）设备供电时，操作人员应穿绝缘鞋，带绝缘手套，并应有两人互相配合，采取逐级加电的方法进行。如发现异常，应立即切断电源开关，检查原因。</w:t>
      </w:r>
    </w:p>
    <w:p w14:paraId="08DE48A4">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6.3.4.8 电缆布放安全要求</w:t>
      </w:r>
    </w:p>
    <w:p w14:paraId="1BAA8DB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1、布放线缆时应做好标识，其中电源线端头应作绝缘处理。</w:t>
      </w:r>
    </w:p>
    <w:p w14:paraId="40EB2E2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2、电源线的布放：</w:t>
      </w:r>
    </w:p>
    <w:p w14:paraId="6046B54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（1）在地槽内布放电源线时，必须注意防潮。</w:t>
      </w:r>
    </w:p>
    <w:p w14:paraId="1EAF4F7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（2）布放电源线时，无论是明敷或暗敷，必须是整条线料，中间严禁有接头。</w:t>
      </w:r>
    </w:p>
    <w:p w14:paraId="1FF5F95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p>
    <w:p w14:paraId="2E8E42E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（4）电源线穿越墙洞或楼层时，应预留“S”弯。洞口两端应按要求用阻燃材料的盖板堵封洞口。施工尚未结束时，应用临时阻燃材料堵封洞口。</w:t>
      </w:r>
    </w:p>
    <w:p w14:paraId="43960DB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（5）交流线、直流线、信号线应分开布放，不得绑扎在一起，如走在同一路由时，间距必须符合工程验收规范要求。非同一级电力电缆不得穿放在同一管孔内。</w:t>
      </w:r>
    </w:p>
    <w:p w14:paraId="2A2CDF6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（6）设备电源的正负极性严禁接反。</w:t>
      </w:r>
    </w:p>
    <w:p w14:paraId="2DBA040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（7）电源线、信号线必须是整条线料，外皮完整，中间严禁有接头和急弯处。</w:t>
      </w:r>
    </w:p>
    <w:p w14:paraId="4040AB9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（8）直流电源线、交流电源线、信号线必须分开布放，应避免在同一线束内。其中直流电源线正极外皮颜色应为红色，负极外皮颜色应为兰色。</w:t>
      </w:r>
    </w:p>
    <w:p w14:paraId="42EF8D82">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6.3.4.9 铁件加工和安装</w:t>
      </w:r>
    </w:p>
    <w:p w14:paraId="038D41A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1、加工铁件应在指定的区域操作。不得在已安装设备的机房内切割铁件。</w:t>
      </w:r>
    </w:p>
    <w:p w14:paraId="39EB5F6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2、锯、锉铁件时，加工的铁件应在台虎钳或电锯平台上夹紧。在台虎钳上夹持固定槽钢、角钢、钢管时，应用木块在钳口处垫实、夹牢，不得松动，锯、锉点距钳口的距离不应过远，防止铁件振动损害机具。</w:t>
      </w:r>
    </w:p>
    <w:p w14:paraId="46A84BE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锯铁件时，锯条或砂轮与铁件的夹角要小，不宜超过10°，锯条松紧适度。锯槽钢、角钢时，不宜从顶角开始，宜从边角开始。当铁件快要锯断时，要降低手锯或电锯的速度，并有人扶住铁件的另一端，防止卡锯或铁件余料飞出。</w:t>
      </w:r>
    </w:p>
    <w:p w14:paraId="378F299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4、对铁件钻孔时，应用力均匀，铁件应夹紧，固定牢靠，不得左右摆动；如发生卡住钻头现象，应立即停机处理。</w:t>
      </w:r>
    </w:p>
    <w:p w14:paraId="11C9016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5、管件攻丝、套丝时，管件在台虎钳上应固定牢固。如两人操作时，动作应协调。攻、套丝时，应注意加注机油，及时清理铁屑，防止飞溅。</w:t>
      </w:r>
    </w:p>
    <w:p w14:paraId="27C26C4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6、铁件作弯时，应在台虎钳或作弯工具上夹紧。用锤敲击时，应防止振伤手臂。管件需加热作弯时，喷灯烘烤管件间距适当，操作人员不得面对管口。</w:t>
      </w:r>
    </w:p>
    <w:p w14:paraId="714FABB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7、铁件去锈和喷刷漆时，作业人员应戴口罩、手套。喷刷后的余漆、废液应集中回收，统一处理，不得随意丢放。</w:t>
      </w:r>
    </w:p>
    <w:p w14:paraId="656256A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8、铁件安装工作中，不得抛掷铁件及工具。传递较长的铁件时，应注意周围人员、设备的安全。手扶铁件固定时，应固定牢靠后才能松手。</w:t>
      </w:r>
    </w:p>
    <w:p w14:paraId="7BB96DF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9、走线架、吊挂、通风管道等应安装接地线，与机房接地排连接可靠。</w:t>
      </w:r>
    </w:p>
    <w:p w14:paraId="483E20C6">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6.3.4.10 高处作业时安全施工要求</w:t>
      </w:r>
    </w:p>
    <w:p w14:paraId="48ADBF2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高处作业是一项危险性较大的作业项目，容易发生人员、物体坠落等事故。高处作业的安全防护要求如下:</w:t>
      </w:r>
    </w:p>
    <w:p w14:paraId="2FB93B01">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高处作业人员应当持证上岗。安全员必须严格按照安全控制措施和操作规程进行现场监督、检查。</w:t>
      </w:r>
    </w:p>
    <w:p w14:paraId="4FA602C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作业人员应佩戴安全帽、安全带，穿工作服、工作鞋，并认真检查各种劳保用具是否安全可靠。高处作业人员情绪不稳定、不能保证精神集中地进行高处作业时不得上岗。高空作业前不准饮酒，前一天不准过量饮酒。</w:t>
      </w:r>
    </w:p>
    <w:p w14:paraId="752A25D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p>
    <w:p w14:paraId="3567BDC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高处作业须确保踩踏物牢靠。作业人员应身体健康，并做好自我安全防护工作。操作过程中应防止坠落物伤害他人。</w:t>
      </w:r>
    </w:p>
    <w:p w14:paraId="3F4C9BC7">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6.3.4.11 梯子、高登使用要求</w:t>
      </w:r>
    </w:p>
    <w:p w14:paraId="3BEADB4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选用的梯子应能满足承重要求，长度应适当，方便操作。</w:t>
      </w:r>
    </w:p>
    <w:p w14:paraId="1053960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带电作业或在运行的设备附近作业时，应选择绝缘梯子。</w:t>
      </w:r>
    </w:p>
    <w:p w14:paraId="2F17FDC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使用梯子前应检查梯子是否完好。梯子配件应齐全，各部位连接应牢固，梯梁与踏板无歪斜、折断、松驰、破裂、腐朽、扭曲、变形等缺陷；</w:t>
      </w:r>
    </w:p>
    <w:p w14:paraId="6370924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折叠梯、伸缩梯应活动自如；伸缩梯的绳索应无破损和断股现象；金属梯踏板应做防滑处理，梯脚应装防滑绝缘橡胶垫。</w:t>
      </w:r>
    </w:p>
    <w:p w14:paraId="53C6E31D">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移动超过5米长的梯子，应用2个人抬，且不要在移动的梯子上摆放任何工具或东西。</w:t>
      </w:r>
    </w:p>
    <w:p w14:paraId="6147FF3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有架空线缆或其它障碍物的地方，不得举梯移动。</w:t>
      </w:r>
    </w:p>
    <w:p w14:paraId="368B349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梯子应安置平稳可靠。放置基础及所搭靠的支撑物要稳固，并能承受梯上最大负荷；地面应平整、无杂物、不湿滑。</w:t>
      </w:r>
    </w:p>
    <w:p w14:paraId="27AB70D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梯子放置的斜度要适当，梯子上端的接触点与下端支撑点间水平距离宜等于接触点和支撑点间距离的1/4至1/3。</w:t>
      </w:r>
    </w:p>
    <w:p w14:paraId="494D5C6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上下梯子时，应面向梯子，保持三点接触原则，且不得手持器物，不得携带笨重工具和材料。</w:t>
      </w:r>
    </w:p>
    <w:p w14:paraId="4172FCC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p>
    <w:p w14:paraId="69D7BEC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使用高凳前应检查高凳是否牢固平稳，凳脚、踏板材质应结实。上、下高凳时不得携带笨重材料和工具，一个人不得脚踩两只高凳作业。</w:t>
      </w:r>
    </w:p>
    <w:p w14:paraId="2E2A841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高凳上放置工具和器材时，人离开时应随手取下。搬移高凳时，应先检查、清理高凳上的工具和器材</w:t>
      </w:r>
    </w:p>
    <w:p w14:paraId="72E3AA8E">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6.3.4.12 人员密集场所施工要求</w:t>
      </w:r>
    </w:p>
    <w:p w14:paraId="2215395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在人员密集场所施工时，需在施工地点设置围挡，并设置专门人员在现场维持秩序，疏导人流。群众围观时应及时劝其离去。不得与群众发生冲突。</w:t>
      </w:r>
    </w:p>
    <w:p w14:paraId="4C33D10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施工现场噪声白天应控制在60dB以下，夜间应控制在45dB以下。</w:t>
      </w:r>
    </w:p>
    <w:p w14:paraId="2F0A328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施工结束后，应车去围挡，并清扫现场，不得遗留施工垃圾、废料。</w:t>
      </w:r>
    </w:p>
    <w:p w14:paraId="5DEE9482">
      <w:pPr>
        <w:keepNext/>
        <w:keepLines/>
        <w:pageBreakBefore w:val="0"/>
        <w:widowControl w:val="0"/>
        <w:tabs>
          <w:tab w:val="left" w:pos="9240"/>
        </w:tabs>
        <w:kinsoku/>
        <w:wordWrap/>
        <w:overflowPunct/>
        <w:topLinePunct w:val="0"/>
        <w:autoSpaceDE/>
        <w:autoSpaceDN/>
        <w:bidi w:val="0"/>
        <w:adjustRightInd/>
        <w:snapToGrid/>
        <w:spacing w:before="280" w:after="290" w:line="400" w:lineRule="exact"/>
        <w:ind w:firstLine="482" w:firstLineChars="200"/>
        <w:jc w:val="left"/>
        <w:outlineLvl w:val="3"/>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6.3.4.13 电动工具使用安全</w:t>
      </w:r>
    </w:p>
    <w:p w14:paraId="38BAC82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作业前需检查</w:t>
      </w:r>
    </w:p>
    <w:p w14:paraId="6A17948B">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外壳、手柄不出现裂缝、破损；</w:t>
      </w:r>
    </w:p>
    <w:p w14:paraId="76C7154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电缆软线及插头等完好无损，开关动作正常，保护接零连接正确、牢固可靠；</w:t>
      </w:r>
    </w:p>
    <w:p w14:paraId="0C135EF8">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各部防护罩齐全牢固，电气保护装置可靠。 </w:t>
      </w:r>
    </w:p>
    <w:p w14:paraId="2865DB9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机具启动后</w:t>
      </w:r>
    </w:p>
    <w:p w14:paraId="23C400B5">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应空载运转，应检查并确认机具联动灵活无阻。作业时，加力应平稳，不得用力过猛。 </w:t>
      </w:r>
    </w:p>
    <w:p w14:paraId="510ED48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作业时应掌握电钻或电锤手柄，打孔时先将钻头抵在工作表面，然后开动，用力适度，避免晃动；转速若急剧下降，应减少用力，防止电机过载，严禁用木杠加压。</w:t>
      </w:r>
    </w:p>
    <w:p w14:paraId="48B6F460">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p>
    <w:p w14:paraId="04F6F8A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1"/>
        <w:rPr>
          <w:rFonts w:hint="eastAsia" w:ascii="宋体" w:hAnsi="宋体" w:eastAsia="宋体" w:cs="宋体"/>
          <w:b/>
          <w:bCs/>
          <w:color w:val="auto"/>
          <w:kern w:val="2"/>
          <w:sz w:val="24"/>
          <w:szCs w:val="24"/>
          <w:lang w:val="en-US" w:eastAsia="zh-CN" w:bidi="ar-SA"/>
        </w:rPr>
      </w:pPr>
      <w:bookmarkStart w:id="406" w:name="_Toc105623181"/>
      <w:bookmarkStart w:id="407" w:name="_Toc103953591"/>
      <w:bookmarkStart w:id="408" w:name="_Toc14840"/>
      <w:bookmarkStart w:id="409" w:name="_Toc103952710"/>
      <w:r>
        <w:rPr>
          <w:rFonts w:hint="eastAsia" w:ascii="宋体" w:hAnsi="宋体" w:eastAsia="宋体" w:cs="宋体"/>
          <w:b/>
          <w:bCs/>
          <w:color w:val="auto"/>
          <w:kern w:val="2"/>
          <w:sz w:val="24"/>
          <w:szCs w:val="24"/>
          <w:lang w:val="en-US" w:eastAsia="zh-CN" w:bidi="ar-SA"/>
        </w:rPr>
        <w:t>6.4 消防</w:t>
      </w:r>
      <w:bookmarkEnd w:id="406"/>
      <w:bookmarkEnd w:id="407"/>
      <w:bookmarkEnd w:id="408"/>
      <w:bookmarkEnd w:id="409"/>
    </w:p>
    <w:p w14:paraId="2CFB37E0">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410" w:name="_Toc103953592"/>
      <w:bookmarkStart w:id="411" w:name="_Toc22828"/>
      <w:bookmarkStart w:id="412" w:name="_Toc105623182"/>
      <w:r>
        <w:rPr>
          <w:rFonts w:hint="eastAsia" w:ascii="宋体" w:hAnsi="宋体" w:eastAsia="宋体" w:cs="宋体"/>
          <w:b/>
          <w:bCs/>
          <w:color w:val="auto"/>
          <w:kern w:val="2"/>
          <w:sz w:val="24"/>
          <w:szCs w:val="24"/>
          <w:lang w:val="en-US" w:eastAsia="zh-CN" w:bidi="ar-SA"/>
        </w:rPr>
        <w:t>6.4.1 一般要求</w:t>
      </w:r>
      <w:bookmarkEnd w:id="410"/>
      <w:bookmarkEnd w:id="411"/>
      <w:bookmarkEnd w:id="412"/>
    </w:p>
    <w:p w14:paraId="1320D552">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在项目建设中，将遵循“预防为主，消防结合”的方针，严格贯彻执行国家《建筑设计防火规划》。本期消防采取以下措施：</w:t>
      </w:r>
    </w:p>
    <w:p w14:paraId="7BAEDD4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1、严格按照国家规定，选购符合国家规定标准或使用许可的设备（如空调、不间断供电电源等）。</w:t>
      </w:r>
    </w:p>
    <w:p w14:paraId="27C78BC7">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2、建筑物按防火规定，设置防火门、疏散通道、消防电梯、安全出入口、火灾自动报警系统等，建筑物内部装修选用不燃性和难燃性材料。</w:t>
      </w:r>
    </w:p>
    <w:p w14:paraId="6F295D5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3、机房内宜设置火灾自动报警系统和气体灭火系统。</w:t>
      </w:r>
    </w:p>
    <w:p w14:paraId="632B5C9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4、建筑的机房内均应配置手提式灭火器或移动式灭火器。</w:t>
      </w:r>
    </w:p>
    <w:p w14:paraId="65759BFC">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5、机房及楼道应配置手提式或移动式灭火器、防毒面具。消防通道有疏散指示，通道内不得堆放杂物和易燃物品，不得封堵消防疏散通道，以利发生火灾时安全疏散人员。</w:t>
      </w:r>
    </w:p>
    <w:p w14:paraId="1B1CB876">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6、建筑物内外，严格按照国家消防规定设置消防设施、通道和各种指示标志。</w:t>
      </w:r>
    </w:p>
    <w:p w14:paraId="66884675">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413" w:name="_Toc5237"/>
      <w:bookmarkStart w:id="414" w:name="_Toc103953593"/>
      <w:bookmarkStart w:id="415" w:name="_Toc105623183"/>
      <w:r>
        <w:rPr>
          <w:rFonts w:hint="eastAsia" w:ascii="宋体" w:hAnsi="宋体" w:eastAsia="宋体" w:cs="宋体"/>
          <w:b/>
          <w:bCs/>
          <w:color w:val="auto"/>
          <w:kern w:val="2"/>
          <w:sz w:val="24"/>
          <w:szCs w:val="24"/>
          <w:lang w:val="en-US" w:eastAsia="zh-CN" w:bidi="ar-SA"/>
        </w:rPr>
        <w:t>6.4.2 防火封堵要求</w:t>
      </w:r>
      <w:bookmarkEnd w:id="413"/>
      <w:bookmarkEnd w:id="414"/>
      <w:bookmarkEnd w:id="415"/>
    </w:p>
    <w:p w14:paraId="47B033F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1、光缆穿越楼板、墙体的孔洞敷设后，必须采用防火封堵材料将孔洞封堵严密。</w:t>
      </w:r>
    </w:p>
    <w:p w14:paraId="47002B54">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p>
    <w:p w14:paraId="0700EFC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p>
    <w:p w14:paraId="715D1A44">
      <w:pPr>
        <w:keepNext/>
        <w:keepLines/>
        <w:pageBreakBefore w:val="0"/>
        <w:widowControl w:val="0"/>
        <w:tabs>
          <w:tab w:val="left" w:pos="9240"/>
        </w:tabs>
        <w:kinsoku/>
        <w:wordWrap/>
        <w:overflowPunct/>
        <w:topLinePunct w:val="0"/>
        <w:autoSpaceDE/>
        <w:autoSpaceDN/>
        <w:bidi w:val="0"/>
        <w:adjustRightInd/>
        <w:snapToGrid/>
        <w:spacing w:before="260" w:after="260" w:line="400" w:lineRule="exact"/>
        <w:ind w:firstLine="482" w:firstLineChars="200"/>
        <w:jc w:val="left"/>
        <w:outlineLvl w:val="2"/>
        <w:rPr>
          <w:rFonts w:hint="eastAsia" w:ascii="宋体" w:hAnsi="宋体" w:eastAsia="宋体" w:cs="宋体"/>
          <w:b/>
          <w:bCs/>
          <w:color w:val="auto"/>
          <w:kern w:val="2"/>
          <w:sz w:val="24"/>
          <w:szCs w:val="24"/>
          <w:lang w:val="en-US" w:eastAsia="zh-CN" w:bidi="ar-SA"/>
        </w:rPr>
      </w:pPr>
      <w:bookmarkStart w:id="416" w:name="_Toc26971"/>
      <w:bookmarkStart w:id="417" w:name="_Toc103953594"/>
      <w:bookmarkStart w:id="418" w:name="_Toc105623184"/>
      <w:r>
        <w:rPr>
          <w:rFonts w:hint="eastAsia" w:ascii="宋体" w:hAnsi="宋体" w:eastAsia="宋体" w:cs="宋体"/>
          <w:b/>
          <w:bCs/>
          <w:color w:val="auto"/>
          <w:kern w:val="2"/>
          <w:sz w:val="24"/>
          <w:szCs w:val="24"/>
          <w:lang w:val="en-US" w:eastAsia="zh-CN" w:bidi="ar-SA"/>
        </w:rPr>
        <w:t>6.4.3 施工现场防火要求</w:t>
      </w:r>
      <w:bookmarkEnd w:id="416"/>
      <w:bookmarkEnd w:id="417"/>
      <w:bookmarkEnd w:id="418"/>
    </w:p>
    <w:p w14:paraId="62C0FC5A">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1、施工单位应当在施工现场建立消防安全责任制度，并确定消防安全责任人，制定用火、用电、使用易燃易爆材料等各项消防安全管理制度和操作规程。</w:t>
      </w:r>
    </w:p>
    <w:p w14:paraId="4AA83DB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2、施工现场应配备必要的消防器材。消防器材设置地点应合理，便于取用，使用方法应明示。</w:t>
      </w:r>
    </w:p>
    <w:p w14:paraId="59E7264F">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3、施工现场配备的消防器材应完好无损且在有效期内。</w:t>
      </w:r>
    </w:p>
    <w:p w14:paraId="429AAC6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人员首次进人施工现场，应首先了解消防设施、器材的设置点，不得随意挪动。作业人员进入新的岗位或者新的施工现场前或在采用新技术、新工艺、新设备、新材料时，应当对作业人员进行相应安全生产教育培训。</w:t>
      </w:r>
    </w:p>
    <w:p w14:paraId="556580A9">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5、不得堵塞消防通道、遮挡消防设施。机房施工、扩容、维修等设备包装材料以及电报纸、打印纸等易燃物品，要随用随清随运，不得堆放在机房内和走廊通道上。</w:t>
      </w:r>
    </w:p>
    <w:p w14:paraId="0F9351F3">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6、电气设备着火时，应首先切断电源，必须使用干粉灭火器，严禁使用水和泡沫灭火器。</w:t>
      </w:r>
    </w:p>
    <w:p w14:paraId="5A4ADB7E">
      <w:pPr>
        <w:pageBreakBefore w:val="0"/>
        <w:tabs>
          <w:tab w:val="left" w:pos="0"/>
          <w:tab w:val="left" w:pos="9240"/>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7、在封闭和特殊要求的施工场所严禁吸烟。</w:t>
      </w:r>
    </w:p>
    <w:p w14:paraId="7CA4C693">
      <w:pPr>
        <w:pStyle w:val="192"/>
        <w:pageBreakBefore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注：1、</w:t>
      </w:r>
      <w:r>
        <w:rPr>
          <w:rFonts w:hint="eastAsia" w:ascii="宋体" w:hAnsi="宋体" w:eastAsia="宋体" w:cs="宋体"/>
          <w:b/>
          <w:bCs/>
          <w:color w:val="auto"/>
          <w:sz w:val="24"/>
          <w:szCs w:val="24"/>
          <w:highlight w:val="none"/>
          <w:lang w:eastAsia="zh-CN"/>
        </w:rPr>
        <w:t>本项目</w:t>
      </w:r>
      <w:r>
        <w:rPr>
          <w:rFonts w:hint="eastAsia" w:ascii="宋体" w:hAnsi="宋体" w:eastAsia="宋体" w:cs="宋体"/>
          <w:b/>
          <w:bCs/>
          <w:color w:val="auto"/>
          <w:sz w:val="24"/>
          <w:szCs w:val="24"/>
          <w:highlight w:val="none"/>
        </w:rPr>
        <w:t>中标后中标人</w:t>
      </w:r>
      <w:r>
        <w:rPr>
          <w:rFonts w:hint="eastAsia" w:ascii="宋体" w:hAnsi="宋体" w:eastAsia="宋体" w:cs="宋体"/>
          <w:b/>
          <w:bCs/>
          <w:color w:val="auto"/>
          <w:sz w:val="24"/>
          <w:szCs w:val="24"/>
          <w:highlight w:val="none"/>
          <w:lang w:eastAsia="zh-CN"/>
        </w:rPr>
        <w:t>自接到采购人通知后</w:t>
      </w:r>
      <w:r>
        <w:rPr>
          <w:rFonts w:hint="eastAsia" w:ascii="宋体" w:hAnsi="宋体" w:eastAsia="宋体" w:cs="宋体"/>
          <w:b/>
          <w:bCs/>
          <w:color w:val="auto"/>
          <w:sz w:val="24"/>
          <w:szCs w:val="24"/>
          <w:highlight w:val="none"/>
          <w:lang w:val="en-US" w:eastAsia="zh-CN"/>
        </w:rPr>
        <w:t>2日内到采购人指定地点</w:t>
      </w:r>
      <w:r>
        <w:rPr>
          <w:rFonts w:hint="eastAsia" w:ascii="宋体" w:hAnsi="宋体" w:eastAsia="宋体" w:cs="宋体"/>
          <w:b/>
          <w:bCs/>
          <w:color w:val="auto"/>
          <w:sz w:val="24"/>
          <w:szCs w:val="24"/>
          <w:highlight w:val="none"/>
        </w:rPr>
        <w:t>对以上平台对接进行现场演示，如无法完成平台对接或无法保证数据传输的完整性和稳定性</w:t>
      </w:r>
      <w:r>
        <w:rPr>
          <w:rFonts w:hint="eastAsia" w:ascii="宋体" w:hAnsi="宋体" w:eastAsia="宋体" w:cs="宋体"/>
          <w:b/>
          <w:bCs/>
          <w:color w:val="auto"/>
          <w:sz w:val="24"/>
          <w:szCs w:val="24"/>
          <w:highlight w:val="none"/>
          <w:lang w:val="en-US" w:eastAsia="zh-CN"/>
        </w:rPr>
        <w:t>由中标方承担不利后果</w:t>
      </w:r>
      <w:r>
        <w:rPr>
          <w:rFonts w:hint="eastAsia" w:ascii="宋体" w:hAnsi="宋体" w:eastAsia="宋体" w:cs="宋体"/>
          <w:b/>
          <w:bCs/>
          <w:color w:val="auto"/>
          <w:sz w:val="24"/>
          <w:szCs w:val="24"/>
          <w:highlight w:val="none"/>
          <w:lang w:eastAsia="zh-CN"/>
        </w:rPr>
        <w:t>。投标人所投材料视为虚假响应，甲方有权另行选择合格的中标人。</w:t>
      </w:r>
    </w:p>
    <w:p w14:paraId="3871929C">
      <w:pPr>
        <w:pStyle w:val="191"/>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2、投标人投标前应充分了解招标的实际需求，投标前可到公安后端对各类现有平台进行勘察测试，充分理解设计意图，保证接入各类数据可以对接各类平台的使用功能和深度应用。</w:t>
      </w:r>
    </w:p>
    <w:p w14:paraId="6C414554">
      <w:pPr>
        <w:pStyle w:val="191"/>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3、投标人需协调对接各类平台和推送各类数据，所产生的任何费用均由投标人自行承担（包括对接所需的所有软硬件）。</w:t>
      </w:r>
    </w:p>
    <w:p w14:paraId="4AA36AC4">
      <w:pPr>
        <w:pStyle w:val="191"/>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5、本项目所有传输设备接口均需达到千兆或以上等级如交换机、光纤收发器等，光纤传输带宽均须达到千兆或以上并且保证画面稳定，无卡顿、无跳帧、无延时等。</w:t>
      </w:r>
    </w:p>
    <w:p w14:paraId="77FEF426">
      <w:pPr>
        <w:pStyle w:val="191"/>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6、以上内容中标后应在指定工期内完成，如若完不成则视为虚假响应，甲方有权终止合同并追究相应法律责任。</w:t>
      </w:r>
    </w:p>
    <w:p w14:paraId="15D44879">
      <w:pPr>
        <w:pStyle w:val="191"/>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p>
    <w:p w14:paraId="7F6BA7CC">
      <w:pPr>
        <w:pStyle w:val="191"/>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8、本项目所有采购设备及服务中标后甲方有权核实投标产品或服务是否符合招标要求，如发现有虚假</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现象，甲方有权拒签合同。</w:t>
      </w:r>
      <w:r>
        <w:rPr>
          <w:rFonts w:hint="eastAsia" w:ascii="宋体" w:hAnsi="宋体" w:eastAsia="宋体" w:cs="宋体"/>
          <w:b/>
          <w:bCs/>
          <w:color w:val="auto"/>
          <w:sz w:val="24"/>
          <w:szCs w:val="24"/>
          <w:highlight w:val="none"/>
          <w:lang w:eastAsia="zh-CN"/>
        </w:rPr>
        <w:t>核实所产生的费用由投标人考虑至报价中，甲方不再另行支付。</w:t>
      </w:r>
    </w:p>
    <w:p w14:paraId="7D22B52C">
      <w:pPr>
        <w:pStyle w:val="191"/>
        <w:pageBreakBefore w:val="0"/>
        <w:widowControl w:val="0"/>
        <w:kinsoku/>
        <w:wordWrap/>
        <w:overflowPunct/>
        <w:topLinePunct w:val="0"/>
        <w:autoSpaceDE/>
        <w:autoSpaceDN/>
        <w:bidi w:val="0"/>
        <w:spacing w:line="440" w:lineRule="exact"/>
        <w:ind w:firstLine="482" w:firstLineChars="200"/>
        <w:rPr>
          <w:rFonts w:hint="eastAsia" w:ascii="宋体" w:hAnsi="宋体" w:eastAsia="宋体" w:cs="宋体"/>
          <w:bCs/>
          <w:color w:val="auto"/>
          <w:sz w:val="44"/>
          <w:highlight w:val="none"/>
        </w:rPr>
      </w:pPr>
      <w:r>
        <w:rPr>
          <w:rFonts w:hint="eastAsia" w:ascii="宋体" w:hAnsi="宋体" w:eastAsia="宋体" w:cs="宋体"/>
          <w:b/>
          <w:bCs/>
          <w:color w:val="auto"/>
          <w:sz w:val="24"/>
          <w:szCs w:val="24"/>
          <w:highlight w:val="none"/>
          <w:lang w:val="en-US" w:eastAsia="zh-CN"/>
        </w:rPr>
        <w:t>9、在质保期内，中标方应确保每月（以每月的23日统计数据为准，注：23日为节假日的，延后到下一个工作日）的监控在线率达9</w:t>
      </w:r>
      <w:r>
        <w:rPr>
          <w:rFonts w:hint="eastAsia"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%及以上（如投标人承诺高于9</w:t>
      </w:r>
      <w:r>
        <w:rPr>
          <w:rFonts w:hint="eastAsia"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%，以投标人承诺为准）。</w:t>
      </w:r>
    </w:p>
    <w:p w14:paraId="7C3A8B68">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4BE3D966">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64D5BE5B">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07F55B47">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4107EDA1">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7E90A84F">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6364ACF2">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328F4C68">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0A88AA66">
      <w:pPr>
        <w:pStyle w:val="30"/>
        <w:tabs>
          <w:tab w:val="left" w:pos="9240"/>
        </w:tabs>
        <w:spacing w:beforeAutospacing="0" w:afterAutospacing="0"/>
        <w:ind w:right="176" w:rightChars="84" w:firstLine="880"/>
        <w:jc w:val="center"/>
        <w:rPr>
          <w:rFonts w:hint="eastAsia" w:ascii="黑体" w:hAnsi="宋体" w:eastAsia="黑体" w:cs="黑体"/>
          <w:color w:val="auto"/>
          <w:sz w:val="44"/>
          <w:szCs w:val="44"/>
          <w:highlight w:val="none"/>
        </w:rPr>
      </w:pPr>
    </w:p>
    <w:p w14:paraId="72A988F3">
      <w:pPr>
        <w:pStyle w:val="30"/>
        <w:tabs>
          <w:tab w:val="left" w:pos="9240"/>
        </w:tabs>
        <w:spacing w:beforeAutospacing="0" w:afterAutospacing="0"/>
        <w:ind w:right="176" w:rightChars="84" w:firstLine="88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2D181F56">
      <w:pPr>
        <w:pStyle w:val="30"/>
        <w:tabs>
          <w:tab w:val="left" w:pos="9240"/>
        </w:tabs>
        <w:spacing w:beforeAutospacing="0" w:afterAutospacing="0"/>
        <w:ind w:right="176" w:rightChars="84"/>
        <w:jc w:val="both"/>
        <w:rPr>
          <w:color w:val="auto"/>
          <w:highlight w:val="none"/>
        </w:rPr>
      </w:pPr>
      <w:r>
        <w:rPr>
          <w:color w:val="auto"/>
          <w:highlight w:val="none"/>
        </w:rPr>
        <w:t> </w:t>
      </w:r>
    </w:p>
    <w:p w14:paraId="68AC2D3B">
      <w:pPr>
        <w:tabs>
          <w:tab w:val="left" w:pos="9240"/>
        </w:tabs>
        <w:spacing w:line="480" w:lineRule="exact"/>
        <w:ind w:right="176" w:rightChars="84"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一、定标原则</w:t>
      </w:r>
    </w:p>
    <w:p w14:paraId="0C0D4325">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bCs/>
          <w:color w:val="auto"/>
          <w:sz w:val="24"/>
          <w:highlight w:val="none"/>
        </w:rPr>
        <w:t>本项目采用</w:t>
      </w:r>
      <w:r>
        <w:rPr>
          <w:rFonts w:hint="eastAsia" w:ascii="宋体" w:hAnsi="宋体" w:eastAsia="宋体" w:cs="宋体"/>
          <w:bCs/>
          <w:color w:val="auto"/>
          <w:sz w:val="24"/>
          <w:highlight w:val="none"/>
          <w:u w:val="single"/>
        </w:rPr>
        <w:t xml:space="preserve"> 综合评分 </w:t>
      </w:r>
      <w:r>
        <w:rPr>
          <w:rFonts w:hint="eastAsia" w:ascii="宋体" w:hAnsi="宋体" w:eastAsia="宋体" w:cs="宋体"/>
          <w:bCs/>
          <w:color w:val="auto"/>
          <w:sz w:val="24"/>
          <w:highlight w:val="none"/>
        </w:rPr>
        <w:t>法。</w:t>
      </w:r>
      <w:r>
        <w:rPr>
          <w:rFonts w:hint="eastAsia" w:ascii="宋体" w:hAnsi="宋体" w:eastAsia="宋体" w:cs="宋体"/>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7E01F698">
      <w:pPr>
        <w:pStyle w:val="30"/>
        <w:tabs>
          <w:tab w:val="left" w:pos="9240"/>
        </w:tabs>
        <w:spacing w:beforeAutospacing="0" w:afterAutospacing="0" w:line="480" w:lineRule="exact"/>
        <w:ind w:right="176" w:rightChars="84" w:firstLine="482"/>
        <w:rPr>
          <w:rFonts w:ascii="宋体" w:hAnsi="宋体" w:eastAsia="宋体" w:cs="宋体"/>
          <w:color w:val="auto"/>
          <w:highlight w:val="none"/>
        </w:rPr>
      </w:pPr>
      <w:r>
        <w:rPr>
          <w:rFonts w:hint="eastAsia" w:ascii="宋体" w:hAnsi="宋体" w:eastAsia="宋体" w:cs="宋体"/>
          <w:b/>
          <w:color w:val="auto"/>
          <w:highlight w:val="none"/>
        </w:rPr>
        <w:t>政府采购政策功能落实</w:t>
      </w:r>
    </w:p>
    <w:p w14:paraId="6E249652">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1、小微型企业价格扣除</w:t>
      </w:r>
    </w:p>
    <w:p w14:paraId="358B582E">
      <w:pPr>
        <w:pStyle w:val="189"/>
        <w:tabs>
          <w:tab w:val="left" w:pos="9240"/>
        </w:tabs>
        <w:spacing w:before="0" w:after="0" w:line="480" w:lineRule="exact"/>
        <w:ind w:right="176" w:rightChars="84"/>
        <w:rPr>
          <w:rFonts w:ascii="宋体" w:hAnsi="宋体" w:eastAsia="宋体" w:cs="宋体"/>
          <w:color w:val="auto"/>
          <w:highlight w:val="none"/>
        </w:rPr>
      </w:pPr>
      <w:r>
        <w:rPr>
          <w:rFonts w:hint="eastAsia" w:ascii="宋体" w:hAnsi="宋体" w:eastAsia="宋体" w:cs="宋体"/>
          <w:color w:val="auto"/>
          <w:highlight w:val="none"/>
        </w:rPr>
        <w:t>（1）本项目若不专门面向中小企业采购，对符合规定的小型和微型企业报价给予20%的扣除价格，用扣除后的价格参与评审；若专门面向中小企业采购，不再对小型和微型企业报价给予价格扣除。</w:t>
      </w:r>
    </w:p>
    <w:p w14:paraId="162A1FC6">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（2）供应商需按照采购文件的要求提供相应的《中小企业声明函》。</w:t>
      </w:r>
    </w:p>
    <w:p w14:paraId="38E538BD">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（3）企业标准请参照《关于印发中小企业划型标准规定的通知》（工信部联企业〔2011〕300号）文件规定自行填写。</w:t>
      </w:r>
    </w:p>
    <w:p w14:paraId="591669B8">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2、残疾人福利单位价格扣除</w:t>
      </w:r>
    </w:p>
    <w:p w14:paraId="1622DC56">
      <w:pPr>
        <w:pStyle w:val="30"/>
        <w:tabs>
          <w:tab w:val="left" w:pos="9240"/>
        </w:tabs>
        <w:spacing w:beforeAutospacing="0" w:afterAutospacing="0" w:line="480" w:lineRule="exact"/>
        <w:ind w:right="176" w:rightChars="84" w:firstLine="480"/>
        <w:rPr>
          <w:rFonts w:ascii="宋体" w:hAnsi="宋体" w:eastAsia="宋体" w:cs="宋体"/>
          <w:color w:val="auto"/>
          <w:highlight w:val="none"/>
          <w:u w:val="single"/>
        </w:rPr>
      </w:pPr>
      <w:r>
        <w:rPr>
          <w:rFonts w:hint="eastAsia" w:ascii="宋体" w:hAnsi="宋体" w:eastAsia="宋体" w:cs="宋体"/>
          <w:color w:val="auto"/>
          <w:highlight w:val="none"/>
        </w:rPr>
        <w:t>（1）本项目对残疾人福利性单位视同小型、微型企业，给予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w:t>
      </w:r>
    </w:p>
    <w:p w14:paraId="2274AF2B">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（2）残疾人福利单位需按照采购文件的要求提供《残疾人福利性单位声明函》。</w:t>
      </w:r>
    </w:p>
    <w:p w14:paraId="0E182BC9">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（3）残疾人福利单位标准请参照《关于促进残疾人就业政府采购政策的通知》（财库〔2017〕141号）。</w:t>
      </w:r>
    </w:p>
    <w:p w14:paraId="4D74333A">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3、监狱和戒毒企业价格扣除</w:t>
      </w:r>
    </w:p>
    <w:p w14:paraId="52E2EC7C">
      <w:pPr>
        <w:pStyle w:val="30"/>
        <w:tabs>
          <w:tab w:val="left" w:pos="9240"/>
        </w:tabs>
        <w:spacing w:beforeAutospacing="0" w:afterAutospacing="0" w:line="480" w:lineRule="exact"/>
        <w:ind w:right="176" w:rightChars="84" w:firstLine="480"/>
        <w:rPr>
          <w:rFonts w:ascii="宋体" w:hAnsi="宋体" w:eastAsia="宋体" w:cs="宋体"/>
          <w:color w:val="auto"/>
          <w:highlight w:val="none"/>
          <w:u w:val="single"/>
        </w:rPr>
      </w:pPr>
      <w:r>
        <w:rPr>
          <w:rFonts w:hint="eastAsia" w:ascii="宋体" w:hAnsi="宋体" w:eastAsia="宋体" w:cs="宋体"/>
          <w:color w:val="auto"/>
          <w:highlight w:val="none"/>
        </w:rPr>
        <w:t>（1）本项目对监狱和戒毒企业（简称监狱企业）视同小型、微型企业，给予</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w:t>
      </w:r>
    </w:p>
    <w:p w14:paraId="0CC86D6B">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0CDF415F">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（3）监狱企业标准请参照《关于政府采购支持监狱企业发展有关问题的通知》（财库〔2014〕68号）。</w:t>
      </w:r>
    </w:p>
    <w:p w14:paraId="550B42C2">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4、残疾人福利单位、监狱企业属于小型、微型企业的，不重复享受政策。</w:t>
      </w:r>
    </w:p>
    <w:p w14:paraId="3A2E69DB">
      <w:pPr>
        <w:pStyle w:val="30"/>
        <w:tabs>
          <w:tab w:val="left" w:pos="9240"/>
        </w:tabs>
        <w:spacing w:beforeAutospacing="0" w:afterAutospacing="0" w:line="480" w:lineRule="exact"/>
        <w:ind w:right="176" w:rightChars="84" w:firstLine="480"/>
        <w:rPr>
          <w:rFonts w:ascii="宋体" w:hAnsi="宋体" w:eastAsia="宋体" w:cs="宋体"/>
          <w:color w:val="auto"/>
          <w:highlight w:val="none"/>
        </w:rPr>
      </w:pPr>
      <w:r>
        <w:rPr>
          <w:rFonts w:hint="eastAsia" w:ascii="宋体" w:hAnsi="宋体" w:eastAsia="宋体" w:cs="宋体"/>
          <w:color w:val="auto"/>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6%</w:t>
      </w:r>
      <w:r>
        <w:rPr>
          <w:rFonts w:hint="eastAsia" w:ascii="宋体" w:hAnsi="宋体" w:eastAsia="宋体" w:cs="宋体"/>
          <w:color w:val="auto"/>
          <w:highlight w:val="none"/>
        </w:rPr>
        <w:t>的价格扣除，用扣除后的价格参与评审。</w:t>
      </w:r>
    </w:p>
    <w:p w14:paraId="0D6801DB">
      <w:pPr>
        <w:pStyle w:val="30"/>
        <w:tabs>
          <w:tab w:val="left" w:pos="9240"/>
        </w:tabs>
        <w:spacing w:beforeAutospacing="0" w:afterAutospacing="0" w:line="480" w:lineRule="exact"/>
        <w:ind w:right="176" w:rightChars="84" w:firstLine="480"/>
        <w:rPr>
          <w:rFonts w:ascii="宋体" w:hAnsi="宋体" w:eastAsia="宋体" w:cs="宋体"/>
          <w:color w:val="auto"/>
          <w:highlight w:val="none"/>
          <w:u w:val="single"/>
        </w:rPr>
      </w:pPr>
      <w:r>
        <w:rPr>
          <w:rFonts w:hint="eastAsia" w:ascii="宋体" w:hAnsi="宋体" w:eastAsia="宋体" w:cs="宋体"/>
          <w:color w:val="auto"/>
          <w:highlight w:val="none"/>
        </w:rPr>
        <w:t>6、联合体各方均为小型、微型企业（残疾人福利单位、监狱企业）的，联合体享受</w:t>
      </w:r>
      <w:r>
        <w:rPr>
          <w:rFonts w:hint="eastAsia" w:ascii="宋体" w:hAnsi="宋体" w:eastAsia="宋体" w:cs="宋体"/>
          <w:color w:val="auto"/>
          <w:highlight w:val="none"/>
          <w:u w:val="single"/>
        </w:rPr>
        <w:t>20%</w:t>
      </w:r>
      <w:r>
        <w:rPr>
          <w:rFonts w:hint="eastAsia" w:ascii="宋体" w:hAnsi="宋体" w:eastAsia="宋体" w:cs="宋体"/>
          <w:color w:val="auto"/>
          <w:highlight w:val="none"/>
        </w:rPr>
        <w:t>的价格扣除。</w:t>
      </w:r>
    </w:p>
    <w:p w14:paraId="6640FBC9">
      <w:pPr>
        <w:tabs>
          <w:tab w:val="left" w:pos="9240"/>
        </w:tabs>
        <w:spacing w:line="480" w:lineRule="exact"/>
        <w:ind w:right="176" w:rightChars="84" w:firstLine="480"/>
        <w:rPr>
          <w:rFonts w:ascii="宋体" w:hAnsi="宋体" w:eastAsia="宋体" w:cs="宋体"/>
          <w:color w:val="auto"/>
          <w:sz w:val="24"/>
          <w:highlight w:val="none"/>
        </w:rPr>
      </w:pPr>
      <w:r>
        <w:rPr>
          <w:rFonts w:hint="eastAsia" w:ascii="宋体" w:hAnsi="宋体" w:eastAsia="宋体" w:cs="宋体"/>
          <w:color w:val="auto"/>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highlight w:val="none"/>
        </w:rPr>
        <w:t>如属政府强制采购产品未提供认证证书的或认证证书提供不全的将视为未实质性响应采购要求</w:t>
      </w:r>
      <w:r>
        <w:rPr>
          <w:rFonts w:hint="eastAsia" w:ascii="宋体" w:hAnsi="宋体" w:eastAsia="宋体" w:cs="宋体"/>
          <w:color w:val="auto"/>
          <w:sz w:val="24"/>
          <w:highlight w:val="none"/>
        </w:rPr>
        <w:t>。其他条件相同情况下，应当优先采购节能产品、环境标志产品。</w:t>
      </w:r>
    </w:p>
    <w:p w14:paraId="4186ECC0">
      <w:pPr>
        <w:tabs>
          <w:tab w:val="left" w:pos="9240"/>
        </w:tabs>
        <w:spacing w:line="520" w:lineRule="exact"/>
        <w:ind w:right="176" w:rightChars="84" w:firstLine="480"/>
        <w:rPr>
          <w:rFonts w:ascii="宋体" w:hAnsi="宋体" w:cs="Courier New"/>
          <w:bCs/>
          <w:color w:val="auto"/>
          <w:sz w:val="24"/>
          <w:highlight w:val="none"/>
        </w:rPr>
      </w:pPr>
      <w:r>
        <w:rPr>
          <w:rFonts w:hint="eastAsia" w:ascii="宋体" w:hAnsi="宋体" w:cs="Courier New"/>
          <w:bCs/>
          <w:color w:val="auto"/>
          <w:sz w:val="24"/>
          <w:highlight w:val="none"/>
        </w:rPr>
        <w:t>本项目评分总分值为100分。</w:t>
      </w:r>
    </w:p>
    <w:p w14:paraId="32B34DAA">
      <w:pPr>
        <w:tabs>
          <w:tab w:val="left" w:pos="9240"/>
        </w:tabs>
        <w:spacing w:line="520" w:lineRule="exact"/>
        <w:ind w:right="176" w:rightChars="84" w:firstLine="482"/>
        <w:rPr>
          <w:rFonts w:ascii="宋体" w:hAnsi="宋体" w:eastAsia="宋体" w:cs="Courier New"/>
          <w:b/>
          <w:bCs/>
          <w:color w:val="auto"/>
          <w:sz w:val="24"/>
          <w:highlight w:val="none"/>
        </w:rPr>
      </w:pPr>
      <w:r>
        <w:rPr>
          <w:rFonts w:hint="eastAsia" w:ascii="宋体" w:hAnsi="宋体" w:eastAsia="宋体" w:cs="Courier New"/>
          <w:b/>
          <w:bCs/>
          <w:color w:val="auto"/>
          <w:sz w:val="24"/>
          <w:highlight w:val="none"/>
        </w:rPr>
        <w:t>二、评标标准</w:t>
      </w:r>
    </w:p>
    <w:p w14:paraId="12A91DD2">
      <w:pPr>
        <w:tabs>
          <w:tab w:val="left" w:pos="9240"/>
        </w:tabs>
        <w:spacing w:line="480" w:lineRule="exact"/>
        <w:ind w:right="176" w:rightChars="84" w:firstLine="480"/>
        <w:rPr>
          <w:rFonts w:ascii="宋体" w:hAnsi="宋体" w:eastAsia="宋体" w:cs="宋体"/>
          <w:color w:val="auto"/>
          <w:sz w:val="24"/>
          <w:szCs w:val="21"/>
          <w:highlight w:val="none"/>
        </w:rPr>
      </w:pPr>
      <w:bookmarkStart w:id="419" w:name="_Hlk81817387"/>
      <w:r>
        <w:rPr>
          <w:rFonts w:hint="eastAsia" w:ascii="宋体" w:hAnsi="宋体" w:eastAsia="宋体" w:cs="宋体"/>
          <w:color w:val="auto"/>
          <w:sz w:val="24"/>
          <w:szCs w:val="21"/>
          <w:highlight w:val="none"/>
        </w:rPr>
        <w:t>评标时，评标委员会各成员独立对每个投标人的投标文件进行评价，并汇总每个投标人的得分。本项目采用综合评分法，总分共100分。评标时，评标委员会按照招标文件规定的量化因素和权重比值打分，【评标委员会全体成员对该投标人打分的算术平均值为该投标人的最终得分】。</w:t>
      </w:r>
    </w:p>
    <w:p w14:paraId="62D26299">
      <w:pPr>
        <w:tabs>
          <w:tab w:val="left" w:pos="9240"/>
        </w:tabs>
        <w:spacing w:line="480" w:lineRule="exact"/>
        <w:ind w:right="176" w:rightChars="84"/>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1、评分细则</w:t>
      </w:r>
    </w:p>
    <w:tbl>
      <w:tblPr>
        <w:tblStyle w:val="32"/>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809"/>
        <w:gridCol w:w="7608"/>
      </w:tblGrid>
      <w:tr w14:paraId="568E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 w:type="pct"/>
            <w:vAlign w:val="center"/>
          </w:tcPr>
          <w:p w14:paraId="130FC353">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4"/>
                <w:highlight w:val="none"/>
              </w:rPr>
            </w:pPr>
            <w:r>
              <w:rPr>
                <w:rFonts w:hint="eastAsia" w:ascii="宋体" w:hAnsi="宋体" w:eastAsia="宋体" w:cs="宋体"/>
                <w:b/>
                <w:bCs/>
                <w:color w:val="auto"/>
                <w:sz w:val="24"/>
                <w:highlight w:val="none"/>
                <w:lang w:bidi="ar"/>
              </w:rPr>
              <w:t>分项</w:t>
            </w:r>
          </w:p>
        </w:tc>
        <w:tc>
          <w:tcPr>
            <w:tcW w:w="410" w:type="pct"/>
            <w:vAlign w:val="center"/>
          </w:tcPr>
          <w:p w14:paraId="0651E7A1">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4"/>
                <w:highlight w:val="none"/>
              </w:rPr>
            </w:pPr>
            <w:r>
              <w:rPr>
                <w:rFonts w:hint="eastAsia" w:ascii="宋体" w:hAnsi="宋体" w:eastAsia="宋体" w:cs="宋体"/>
                <w:b/>
                <w:bCs/>
                <w:color w:val="auto"/>
                <w:sz w:val="24"/>
                <w:highlight w:val="none"/>
                <w:lang w:bidi="ar"/>
              </w:rPr>
              <w:t>分值</w:t>
            </w:r>
          </w:p>
        </w:tc>
        <w:tc>
          <w:tcPr>
            <w:tcW w:w="3857" w:type="pct"/>
            <w:vAlign w:val="center"/>
          </w:tcPr>
          <w:p w14:paraId="642EAC18">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4"/>
                <w:highlight w:val="none"/>
              </w:rPr>
            </w:pPr>
            <w:r>
              <w:rPr>
                <w:rFonts w:hint="eastAsia" w:ascii="宋体" w:hAnsi="宋体" w:eastAsia="宋体" w:cs="宋体"/>
                <w:b/>
                <w:bCs/>
                <w:color w:val="auto"/>
                <w:sz w:val="24"/>
                <w:highlight w:val="none"/>
                <w:lang w:bidi="ar"/>
              </w:rPr>
              <w:t>评分标准</w:t>
            </w:r>
          </w:p>
        </w:tc>
      </w:tr>
      <w:tr w14:paraId="47B3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 w:type="pct"/>
            <w:vAlign w:val="center"/>
          </w:tcPr>
          <w:p w14:paraId="0F7D9B5D">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投标报价</w:t>
            </w:r>
          </w:p>
          <w:p w14:paraId="220896E5">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（30分）</w:t>
            </w:r>
          </w:p>
        </w:tc>
        <w:tc>
          <w:tcPr>
            <w:tcW w:w="410" w:type="pct"/>
            <w:vAlign w:val="center"/>
          </w:tcPr>
          <w:p w14:paraId="18B36691">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30分</w:t>
            </w:r>
          </w:p>
        </w:tc>
        <w:tc>
          <w:tcPr>
            <w:tcW w:w="3857" w:type="pct"/>
            <w:vAlign w:val="center"/>
          </w:tcPr>
          <w:p w14:paraId="70DC5CA2">
            <w:pPr>
              <w:keepNext w:val="0"/>
              <w:keepLines w:val="0"/>
              <w:widowControl/>
              <w:suppressLineNumbers w:val="0"/>
              <w:tabs>
                <w:tab w:val="left" w:pos="9240"/>
              </w:tabs>
              <w:spacing w:before="0" w:beforeAutospacing="0" w:after="0" w:afterAutospacing="0" w:line="400" w:lineRule="exact"/>
              <w:ind w:left="0" w:right="176" w:rightChars="84"/>
              <w:rPr>
                <w:rFonts w:hint="default" w:ascii="宋体" w:hAnsi="宋体" w:eastAsia="宋体" w:cs="宋体"/>
                <w:color w:val="auto"/>
                <w:sz w:val="22"/>
                <w:szCs w:val="22"/>
                <w:highlight w:val="none"/>
              </w:rPr>
            </w:pPr>
            <w:r>
              <w:rPr>
                <w:rFonts w:hint="eastAsia" w:ascii="宋体" w:hAnsi="宋体" w:eastAsia="宋体" w:cs="仿宋"/>
                <w:color w:val="auto"/>
                <w:sz w:val="22"/>
                <w:szCs w:val="22"/>
                <w:highlight w:val="none"/>
              </w:rPr>
              <w:t>满足招标文件要求且投标价格最低的投标报价为评标基准价，投标报价得分=（评标基准价／投标报价）×30，计算分数时四舍五入取小数点后两位。</w:t>
            </w:r>
            <w:r>
              <w:rPr>
                <w:rFonts w:hint="eastAsia" w:ascii="宋体" w:hAnsi="宋体" w:eastAsia="宋体" w:cs="宋体"/>
                <w:color w:val="auto"/>
                <w:sz w:val="22"/>
                <w:szCs w:val="22"/>
                <w:highlight w:val="none"/>
              </w:rPr>
              <w:t>（按四舍五入取至小数点后两位）</w:t>
            </w:r>
          </w:p>
          <w:p w14:paraId="23097CB3">
            <w:pPr>
              <w:keepNext w:val="0"/>
              <w:keepLines w:val="0"/>
              <w:suppressLineNumbers w:val="0"/>
              <w:tabs>
                <w:tab w:val="left" w:pos="9240"/>
              </w:tabs>
              <w:spacing w:before="0" w:beforeAutospacing="0" w:after="0" w:afterAutospacing="0" w:line="480" w:lineRule="exact"/>
              <w:ind w:left="0" w:right="176" w:rightChars="84"/>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注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5CBF1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 w:type="pct"/>
            <w:vAlign w:val="center"/>
          </w:tcPr>
          <w:p w14:paraId="22309A2A">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技术参数</w:t>
            </w:r>
          </w:p>
          <w:p w14:paraId="40F49AF1">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（3</w:t>
            </w:r>
            <w:r>
              <w:rPr>
                <w:rFonts w:hint="eastAsia" w:ascii="宋体" w:hAnsi="宋体" w:eastAsia="宋体" w:cs="宋体"/>
                <w:color w:val="auto"/>
                <w:sz w:val="22"/>
                <w:szCs w:val="22"/>
                <w:highlight w:val="none"/>
                <w:lang w:val="en-US" w:eastAsia="zh-CN" w:bidi="ar"/>
              </w:rPr>
              <w:t>0</w:t>
            </w:r>
            <w:r>
              <w:rPr>
                <w:rFonts w:hint="eastAsia" w:ascii="宋体" w:hAnsi="宋体" w:eastAsia="宋体" w:cs="宋体"/>
                <w:color w:val="auto"/>
                <w:sz w:val="22"/>
                <w:szCs w:val="22"/>
                <w:highlight w:val="none"/>
                <w:lang w:bidi="ar"/>
              </w:rPr>
              <w:t>分）</w:t>
            </w:r>
          </w:p>
        </w:tc>
        <w:tc>
          <w:tcPr>
            <w:tcW w:w="410" w:type="pct"/>
            <w:vAlign w:val="center"/>
          </w:tcPr>
          <w:p w14:paraId="4D70006E">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30</w:t>
            </w:r>
            <w:r>
              <w:rPr>
                <w:rFonts w:hint="eastAsia" w:ascii="宋体" w:hAnsi="宋体" w:eastAsia="宋体" w:cs="宋体"/>
                <w:color w:val="auto"/>
                <w:sz w:val="22"/>
                <w:szCs w:val="22"/>
                <w:highlight w:val="none"/>
                <w:lang w:bidi="ar"/>
              </w:rPr>
              <w:t>分</w:t>
            </w:r>
          </w:p>
        </w:tc>
        <w:tc>
          <w:tcPr>
            <w:tcW w:w="3857" w:type="pct"/>
            <w:vAlign w:val="center"/>
          </w:tcPr>
          <w:p w14:paraId="153E6C85">
            <w:pPr>
              <w:keepNext w:val="0"/>
              <w:keepLines w:val="0"/>
              <w:widowControl/>
              <w:suppressLineNumbers w:val="0"/>
              <w:tabs>
                <w:tab w:val="left" w:pos="9240"/>
              </w:tabs>
              <w:spacing w:before="0" w:beforeAutospacing="0" w:after="0" w:afterAutospacing="0" w:line="360" w:lineRule="auto"/>
              <w:ind w:left="0" w:right="176" w:rightChars="84"/>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评委依据招标文件要求对投标人投标设备主要技术性能、配置、技术参数、功能描述及投标设备规格、技术配置参数，设备配置进行评审。</w:t>
            </w:r>
          </w:p>
          <w:p w14:paraId="551BA03B">
            <w:pPr>
              <w:pStyle w:val="14"/>
              <w:keepNext w:val="0"/>
              <w:keepLines w:val="0"/>
              <w:suppressLineNumbers w:val="0"/>
              <w:spacing w:before="0" w:beforeAutospacing="0" w:after="0" w:afterAutospacing="0" w:line="360" w:lineRule="auto"/>
              <w:ind w:left="0" w:right="0"/>
              <w:rPr>
                <w:rFonts w:hint="default" w:ascii="宋体" w:hAnsi="宋体" w:eastAsia="宋体" w:cs="宋体"/>
                <w:b/>
                <w:bCs/>
                <w:color w:val="auto"/>
                <w:sz w:val="22"/>
                <w:szCs w:val="22"/>
                <w:highlight w:val="none"/>
                <w:lang w:val="en-US" w:eastAsia="zh-CN" w:bidi="ar-SA"/>
              </w:rPr>
            </w:pPr>
            <w:r>
              <w:rPr>
                <w:rFonts w:hint="default" w:ascii="宋体" w:hAnsi="宋体" w:eastAsia="宋体" w:cs="宋体"/>
                <w:b w:val="0"/>
                <w:bCs w:val="0"/>
                <w:color w:val="auto"/>
                <w:sz w:val="22"/>
                <w:szCs w:val="22"/>
                <w:highlight w:val="none"/>
                <w:lang w:val="en-US" w:eastAsia="zh-CN" w:bidi="ar-SA"/>
              </w:rPr>
              <w:t>“★”项</w:t>
            </w:r>
            <w:r>
              <w:rPr>
                <w:rFonts w:hint="eastAsia" w:ascii="宋体" w:hAnsi="宋体" w:eastAsia="宋体" w:cs="宋体"/>
                <w:b w:val="0"/>
                <w:bCs w:val="0"/>
                <w:color w:val="auto"/>
                <w:sz w:val="22"/>
                <w:szCs w:val="22"/>
                <w:highlight w:val="none"/>
                <w:lang w:val="en-US" w:eastAsia="zh-CN" w:bidi="ar-SA"/>
              </w:rPr>
              <w:t>为重要</w:t>
            </w:r>
            <w:r>
              <w:rPr>
                <w:rFonts w:hint="default" w:ascii="宋体" w:hAnsi="宋体" w:eastAsia="宋体" w:cs="宋体"/>
                <w:b w:val="0"/>
                <w:bCs w:val="0"/>
                <w:color w:val="auto"/>
                <w:sz w:val="22"/>
                <w:szCs w:val="22"/>
                <w:highlight w:val="none"/>
                <w:lang w:val="en-US" w:eastAsia="zh-CN" w:bidi="ar-SA"/>
              </w:rPr>
              <w:t>技术参数每出现一项负偏离扣</w:t>
            </w:r>
            <w:r>
              <w:rPr>
                <w:rFonts w:hint="eastAsia" w:ascii="宋体" w:hAnsi="宋体" w:eastAsia="宋体" w:cs="宋体"/>
                <w:b w:val="0"/>
                <w:bCs w:val="0"/>
                <w:color w:val="auto"/>
                <w:sz w:val="22"/>
                <w:szCs w:val="22"/>
                <w:highlight w:val="none"/>
                <w:lang w:val="en-US" w:eastAsia="zh-CN" w:bidi="ar-SA"/>
              </w:rPr>
              <w:t>2</w:t>
            </w:r>
            <w:r>
              <w:rPr>
                <w:rFonts w:hint="default" w:ascii="宋体" w:hAnsi="宋体" w:eastAsia="宋体" w:cs="宋体"/>
                <w:b w:val="0"/>
                <w:bCs w:val="0"/>
                <w:color w:val="auto"/>
                <w:sz w:val="22"/>
                <w:szCs w:val="22"/>
                <w:highlight w:val="none"/>
                <w:lang w:val="en-US" w:eastAsia="zh-CN" w:bidi="ar-SA"/>
              </w:rPr>
              <w:t>分，“★”项负偏离超过</w:t>
            </w:r>
            <w:r>
              <w:rPr>
                <w:rFonts w:hint="eastAsia" w:ascii="宋体" w:hAnsi="宋体" w:eastAsia="宋体" w:cs="宋体"/>
                <w:b w:val="0"/>
                <w:bCs w:val="0"/>
                <w:color w:val="auto"/>
                <w:sz w:val="22"/>
                <w:szCs w:val="22"/>
                <w:highlight w:val="none"/>
                <w:lang w:val="en-US" w:eastAsia="zh-CN" w:bidi="ar-SA"/>
              </w:rPr>
              <w:t>2</w:t>
            </w:r>
            <w:r>
              <w:rPr>
                <w:rFonts w:hint="default" w:ascii="宋体" w:hAnsi="宋体" w:eastAsia="宋体" w:cs="宋体"/>
                <w:b w:val="0"/>
                <w:bCs w:val="0"/>
                <w:color w:val="auto"/>
                <w:sz w:val="22"/>
                <w:szCs w:val="22"/>
                <w:highlight w:val="none"/>
                <w:lang w:val="en-US" w:eastAsia="zh-CN" w:bidi="ar-SA"/>
              </w:rPr>
              <w:t>项（含）技术</w:t>
            </w:r>
            <w:r>
              <w:rPr>
                <w:rFonts w:hint="eastAsia" w:ascii="宋体" w:hAnsi="宋体" w:eastAsia="宋体" w:cs="宋体"/>
                <w:b w:val="0"/>
                <w:bCs w:val="0"/>
                <w:color w:val="auto"/>
                <w:sz w:val="22"/>
                <w:szCs w:val="22"/>
                <w:highlight w:val="none"/>
                <w:lang w:val="en-US" w:eastAsia="zh-CN" w:bidi="ar-SA"/>
              </w:rPr>
              <w:t>参数</w:t>
            </w:r>
            <w:r>
              <w:rPr>
                <w:rFonts w:hint="default" w:ascii="宋体" w:hAnsi="宋体" w:eastAsia="宋体" w:cs="宋体"/>
                <w:b w:val="0"/>
                <w:bCs w:val="0"/>
                <w:color w:val="auto"/>
                <w:sz w:val="22"/>
                <w:szCs w:val="22"/>
                <w:highlight w:val="none"/>
                <w:lang w:val="en-US" w:eastAsia="zh-CN" w:bidi="ar-SA"/>
              </w:rPr>
              <w:t>响应得0分</w:t>
            </w:r>
            <w:r>
              <w:rPr>
                <w:rFonts w:hint="eastAsia" w:ascii="宋体" w:hAnsi="宋体" w:eastAsia="宋体" w:cs="宋体"/>
                <w:b w:val="0"/>
                <w:bCs w:val="0"/>
                <w:color w:val="auto"/>
                <w:sz w:val="22"/>
                <w:szCs w:val="22"/>
                <w:highlight w:val="none"/>
                <w:lang w:val="en-US" w:eastAsia="zh-CN" w:bidi="ar-SA"/>
              </w:rPr>
              <w:t>，</w:t>
            </w:r>
            <w:r>
              <w:rPr>
                <w:rFonts w:hint="default" w:ascii="宋体" w:hAnsi="宋体" w:eastAsia="宋体" w:cs="宋体"/>
                <w:b w:val="0"/>
                <w:bCs w:val="0"/>
                <w:color w:val="auto"/>
                <w:sz w:val="22"/>
                <w:szCs w:val="22"/>
                <w:highlight w:val="none"/>
                <w:lang w:val="en-US" w:eastAsia="zh-CN" w:bidi="ar-SA"/>
              </w:rPr>
              <w:t>“★”</w:t>
            </w:r>
            <w:r>
              <w:rPr>
                <w:rFonts w:hint="eastAsia" w:ascii="宋体" w:hAnsi="宋体" w:eastAsia="宋体" w:cs="宋体"/>
                <w:b w:val="0"/>
                <w:bCs w:val="0"/>
                <w:color w:val="auto"/>
                <w:sz w:val="22"/>
                <w:szCs w:val="22"/>
                <w:highlight w:val="none"/>
                <w:lang w:val="en-US" w:eastAsia="zh-CN" w:bidi="ar-SA"/>
              </w:rPr>
              <w:t>无负偏</w:t>
            </w:r>
            <w:r>
              <w:rPr>
                <w:rFonts w:hint="default" w:ascii="宋体" w:hAnsi="宋体" w:eastAsia="宋体" w:cs="宋体"/>
                <w:b w:val="0"/>
                <w:bCs w:val="0"/>
                <w:color w:val="auto"/>
                <w:sz w:val="22"/>
                <w:szCs w:val="22"/>
                <w:highlight w:val="none"/>
                <w:lang w:val="en-US" w:eastAsia="zh-CN" w:bidi="ar-SA"/>
              </w:rPr>
              <w:t>离</w:t>
            </w:r>
            <w:r>
              <w:rPr>
                <w:rFonts w:hint="eastAsia" w:ascii="宋体" w:hAnsi="宋体" w:eastAsia="宋体" w:cs="宋体"/>
                <w:b w:val="0"/>
                <w:bCs w:val="0"/>
                <w:color w:val="auto"/>
                <w:sz w:val="22"/>
                <w:szCs w:val="22"/>
                <w:highlight w:val="none"/>
                <w:lang w:val="en-US" w:eastAsia="zh-CN" w:bidi="ar-SA"/>
              </w:rPr>
              <w:t>得16分；</w:t>
            </w:r>
            <w:r>
              <w:rPr>
                <w:rFonts w:hint="default" w:ascii="宋体" w:hAnsi="宋体" w:eastAsia="宋体" w:cs="宋体"/>
                <w:b w:val="0"/>
                <w:bCs w:val="0"/>
                <w:color w:val="auto"/>
                <w:sz w:val="22"/>
                <w:szCs w:val="22"/>
                <w:highlight w:val="none"/>
                <w:lang w:val="en-US" w:eastAsia="zh-CN" w:bidi="ar-SA"/>
              </w:rPr>
              <w:t>除“★”项参数以外的技术参数每出现一项负偏离扣1分，</w:t>
            </w:r>
            <w:r>
              <w:rPr>
                <w:rFonts w:hint="eastAsia" w:ascii="宋体" w:hAnsi="宋体" w:eastAsia="宋体" w:cs="宋体"/>
                <w:b w:val="0"/>
                <w:bCs w:val="0"/>
                <w:color w:val="auto"/>
                <w:sz w:val="22"/>
                <w:szCs w:val="22"/>
                <w:highlight w:val="none"/>
                <w:lang w:val="en-US" w:eastAsia="zh-CN" w:bidi="ar-SA"/>
              </w:rPr>
              <w:t>无</w:t>
            </w:r>
            <w:r>
              <w:rPr>
                <w:rFonts w:hint="default" w:ascii="宋体" w:hAnsi="宋体" w:eastAsia="宋体" w:cs="宋体"/>
                <w:b w:val="0"/>
                <w:bCs w:val="0"/>
                <w:color w:val="auto"/>
                <w:sz w:val="22"/>
                <w:szCs w:val="22"/>
                <w:highlight w:val="none"/>
                <w:lang w:val="en-US" w:eastAsia="zh-CN" w:bidi="ar-SA"/>
              </w:rPr>
              <w:t>负偏离</w:t>
            </w:r>
            <w:r>
              <w:rPr>
                <w:rFonts w:hint="eastAsia" w:ascii="宋体" w:hAnsi="宋体" w:eastAsia="宋体" w:cs="宋体"/>
                <w:b w:val="0"/>
                <w:bCs w:val="0"/>
                <w:color w:val="auto"/>
                <w:sz w:val="22"/>
                <w:szCs w:val="22"/>
                <w:highlight w:val="none"/>
                <w:lang w:val="en-US" w:eastAsia="zh-CN" w:bidi="ar-SA"/>
              </w:rPr>
              <w:t>得14分；本项总分30</w:t>
            </w:r>
            <w:r>
              <w:rPr>
                <w:rFonts w:hint="default" w:ascii="宋体" w:hAnsi="宋体" w:eastAsia="宋体" w:cs="宋体"/>
                <w:b w:val="0"/>
                <w:bCs w:val="0"/>
                <w:color w:val="auto"/>
                <w:sz w:val="22"/>
                <w:szCs w:val="22"/>
                <w:highlight w:val="none"/>
                <w:lang w:val="en-US" w:eastAsia="zh-CN" w:bidi="ar-SA"/>
              </w:rPr>
              <w:t>分。</w:t>
            </w:r>
          </w:p>
          <w:p w14:paraId="7BF54D44">
            <w:pPr>
              <w:pStyle w:val="14"/>
              <w:keepNext w:val="0"/>
              <w:keepLines w:val="0"/>
              <w:suppressLineNumbers w:val="0"/>
              <w:spacing w:before="0" w:beforeAutospacing="0" w:after="0" w:afterAutospacing="0" w:line="360" w:lineRule="auto"/>
              <w:ind w:left="0" w:right="0"/>
              <w:rPr>
                <w:rFonts w:hint="default" w:ascii="宋体" w:hAnsi="宋体" w:eastAsia="宋体" w:cs="宋体"/>
                <w:color w:val="auto"/>
                <w:sz w:val="22"/>
                <w:szCs w:val="22"/>
                <w:highlight w:val="yellow"/>
              </w:rPr>
            </w:pPr>
            <w:r>
              <w:rPr>
                <w:rFonts w:hint="default" w:ascii="宋体" w:hAnsi="宋体" w:eastAsia="宋体" w:cs="宋体"/>
                <w:b/>
                <w:bCs/>
                <w:color w:val="auto"/>
                <w:sz w:val="22"/>
                <w:szCs w:val="22"/>
                <w:highlight w:val="none"/>
                <w:lang w:val="en-US" w:eastAsia="zh-CN" w:bidi="ar-SA"/>
              </w:rPr>
              <w:t>技术参数不得虚假响应，如经查实，将予以取消中标资格，并提交财政监管部门处理，有可能面临着被列入失信名单的法律风险。</w:t>
            </w:r>
          </w:p>
        </w:tc>
      </w:tr>
      <w:tr w14:paraId="7620A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2" w:type="pct"/>
            <w:vAlign w:val="center"/>
          </w:tcPr>
          <w:p w14:paraId="561F057E">
            <w:pPr>
              <w:keepNext w:val="0"/>
              <w:keepLines w:val="0"/>
              <w:suppressLineNumbers w:val="0"/>
              <w:tabs>
                <w:tab w:val="left" w:pos="9240"/>
              </w:tabs>
              <w:spacing w:before="0" w:beforeAutospacing="0" w:after="120" w:afterAutospacing="0" w:line="360" w:lineRule="auto"/>
              <w:ind w:left="0" w:right="176" w:rightChars="84"/>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实施方案（</w:t>
            </w:r>
            <w:r>
              <w:rPr>
                <w:rFonts w:hint="eastAsia" w:ascii="宋体" w:hAnsi="宋体" w:eastAsia="宋体" w:cs="宋体"/>
                <w:color w:val="auto"/>
                <w:sz w:val="22"/>
                <w:szCs w:val="22"/>
                <w:highlight w:val="none"/>
                <w:lang w:val="en-US" w:eastAsia="zh-CN" w:bidi="ar"/>
              </w:rPr>
              <w:t>15</w:t>
            </w:r>
            <w:r>
              <w:rPr>
                <w:rFonts w:hint="eastAsia" w:ascii="宋体" w:hAnsi="宋体" w:eastAsia="宋体" w:cs="宋体"/>
                <w:color w:val="auto"/>
                <w:sz w:val="22"/>
                <w:szCs w:val="22"/>
                <w:highlight w:val="none"/>
                <w:lang w:bidi="ar"/>
              </w:rPr>
              <w:t>分）</w:t>
            </w:r>
          </w:p>
        </w:tc>
        <w:tc>
          <w:tcPr>
            <w:tcW w:w="410" w:type="pct"/>
            <w:vAlign w:val="center"/>
          </w:tcPr>
          <w:p w14:paraId="165AF6E5">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15</w:t>
            </w:r>
            <w:r>
              <w:rPr>
                <w:rFonts w:hint="eastAsia" w:ascii="宋体" w:hAnsi="宋体" w:eastAsia="宋体" w:cs="宋体"/>
                <w:color w:val="auto"/>
                <w:sz w:val="22"/>
                <w:szCs w:val="22"/>
                <w:highlight w:val="none"/>
                <w:lang w:bidi="ar"/>
              </w:rPr>
              <w:t>分</w:t>
            </w:r>
          </w:p>
        </w:tc>
        <w:tc>
          <w:tcPr>
            <w:tcW w:w="3857" w:type="pct"/>
            <w:vAlign w:val="center"/>
          </w:tcPr>
          <w:p w14:paraId="1852FCCA">
            <w:pPr>
              <w:keepNext w:val="0"/>
              <w:keepLines w:val="0"/>
              <w:widowControl/>
              <w:suppressLineNumbers w:val="0"/>
              <w:tabs>
                <w:tab w:val="left" w:pos="9240"/>
              </w:tabs>
              <w:spacing w:before="0" w:beforeAutospacing="0" w:after="0" w:afterAutospacing="0" w:line="360" w:lineRule="auto"/>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根据投标人技术实施方案的科学、技术可行、思路清晰、目标明确、措施到位、针对性强、安装、培训、调试等方面进行评审打分。</w:t>
            </w:r>
          </w:p>
          <w:p w14:paraId="11411CDB">
            <w:pPr>
              <w:keepNext w:val="0"/>
              <w:keepLines w:val="0"/>
              <w:widowControl/>
              <w:suppressLineNumbers w:val="0"/>
              <w:tabs>
                <w:tab w:val="left" w:pos="9240"/>
              </w:tabs>
              <w:spacing w:before="0" w:beforeAutospacing="0" w:after="0" w:afterAutospacing="0" w:line="360" w:lineRule="auto"/>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（1）根据投标人提供的供货、实施进度、安装、调试、验收的方案和措施的科学有效程度进行评审。方案和措施不少于5条的得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分；方案和措施3-4条的得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分；方案和措施1-2条的得</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分；方案内容有明显重大缺陷的或未提供本项内容的不得分。</w:t>
            </w:r>
          </w:p>
          <w:p w14:paraId="1C4ABC14">
            <w:pPr>
              <w:keepNext w:val="0"/>
              <w:keepLines w:val="0"/>
              <w:widowControl/>
              <w:suppressLineNumbers w:val="0"/>
              <w:tabs>
                <w:tab w:val="left" w:pos="9240"/>
              </w:tabs>
              <w:spacing w:before="0" w:beforeAutospacing="0" w:after="0" w:afterAutospacing="0" w:line="360" w:lineRule="auto"/>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（2）根据安装、调试及培训方案；方案和措施不少于5条的得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分；方案和措施3-4条的得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分；方案和措施1-2条的得</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分；方案内容有明显重大缺陷的或未提供本项内容的不得分。</w:t>
            </w:r>
          </w:p>
          <w:p w14:paraId="41EF1B58">
            <w:pPr>
              <w:keepNext w:val="0"/>
              <w:keepLines w:val="0"/>
              <w:widowControl/>
              <w:suppressLineNumbers w:val="0"/>
              <w:tabs>
                <w:tab w:val="left" w:pos="9240"/>
              </w:tabs>
              <w:spacing w:before="0" w:beforeAutospacing="0" w:after="0" w:afterAutospacing="0" w:line="360" w:lineRule="auto"/>
              <w:ind w:left="0" w:right="176" w:rightChars="84"/>
              <w:jc w:val="left"/>
              <w:rPr>
                <w:rFonts w:hint="default" w:ascii="宋体" w:hAnsi="宋体" w:eastAsia="宋体" w:cs="宋体"/>
                <w:b/>
                <w:color w:val="auto"/>
                <w:sz w:val="22"/>
                <w:szCs w:val="22"/>
                <w:highlight w:val="none"/>
              </w:rPr>
            </w:pPr>
            <w:r>
              <w:rPr>
                <w:rFonts w:hint="eastAsia" w:ascii="宋体" w:hAnsi="宋体" w:eastAsia="宋体" w:cs="宋体"/>
                <w:color w:val="auto"/>
                <w:sz w:val="22"/>
                <w:szCs w:val="22"/>
                <w:highlight w:val="none"/>
              </w:rPr>
              <w:t>（3）质量保证措施及安全文明施工措施；方案和措施不少于5条的得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分；方案和措施3-4条的得</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w:t>
            </w:r>
            <w:r>
              <w:rPr>
                <w:rFonts w:hint="eastAsia" w:ascii="宋体" w:hAnsi="宋体" w:eastAsia="宋体" w:cs="宋体"/>
                <w:color w:val="auto"/>
                <w:sz w:val="22"/>
                <w:szCs w:val="22"/>
                <w:highlight w:val="none"/>
                <w:shd w:val="clear"/>
              </w:rPr>
              <w:t>方案和措施</w:t>
            </w:r>
            <w:r>
              <w:rPr>
                <w:rFonts w:hint="eastAsia" w:ascii="宋体" w:hAnsi="宋体" w:eastAsia="宋体" w:cs="宋体"/>
                <w:color w:val="auto"/>
                <w:sz w:val="22"/>
                <w:szCs w:val="22"/>
                <w:highlight w:val="none"/>
              </w:rPr>
              <w:t>1-2条的得</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分；方案内容有明显重大缺陷的或未提供本项内容的不得分。</w:t>
            </w:r>
          </w:p>
        </w:tc>
      </w:tr>
      <w:tr w14:paraId="2A44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32" w:type="pct"/>
            <w:vAlign w:val="center"/>
          </w:tcPr>
          <w:p w14:paraId="78291EE3">
            <w:pPr>
              <w:keepNext w:val="0"/>
              <w:keepLines w:val="0"/>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综合能力（4分）</w:t>
            </w:r>
          </w:p>
        </w:tc>
        <w:tc>
          <w:tcPr>
            <w:tcW w:w="410" w:type="pct"/>
            <w:vAlign w:val="center"/>
          </w:tcPr>
          <w:p w14:paraId="212C63E4">
            <w:pPr>
              <w:keepNext w:val="0"/>
              <w:keepLines w:val="0"/>
              <w:widowControl/>
              <w:suppressLineNumbers w:val="0"/>
              <w:tabs>
                <w:tab w:val="left" w:pos="9240"/>
              </w:tabs>
              <w:spacing w:before="0" w:beforeAutospacing="0" w:after="0" w:afterAutospacing="0" w:line="360" w:lineRule="auto"/>
              <w:ind w:left="0" w:right="176" w:rightChars="84"/>
              <w:jc w:val="both"/>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4分</w:t>
            </w:r>
          </w:p>
        </w:tc>
        <w:tc>
          <w:tcPr>
            <w:tcW w:w="3857" w:type="pct"/>
            <w:vAlign w:val="center"/>
          </w:tcPr>
          <w:p w14:paraId="71E76A51">
            <w:pPr>
              <w:keepNext w:val="0"/>
              <w:keepLines w:val="0"/>
              <w:suppressLineNumbers w:val="0"/>
              <w:tabs>
                <w:tab w:val="left" w:pos="9240"/>
              </w:tabs>
              <w:spacing w:before="0" w:beforeAutospacing="0" w:after="0" w:afterAutospacing="0" w:line="460" w:lineRule="exact"/>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具有信息技术服务管理体系认证证书、信息安全管理体系认证，每提供1个得2分，未提供不得分，本项最高得4分，提供的证书必须在有效期范围内，且在全国认证认可信息服务平台查询状态必须是合格状态，</w:t>
            </w:r>
            <w:r>
              <w:rPr>
                <w:rFonts w:hint="eastAsia" w:ascii="宋体" w:hAnsi="宋体" w:eastAsia="宋体" w:cs="宋体"/>
                <w:b/>
                <w:color w:val="auto"/>
                <w:sz w:val="22"/>
                <w:szCs w:val="22"/>
                <w:highlight w:val="none"/>
              </w:rPr>
              <w:t>投标时提供中国国家认证认可监督管理委员会http://www.cnca.gov.cn网页查询的有效截图加盖单位公章并提供证书扫描件，否则不得分。</w:t>
            </w:r>
          </w:p>
        </w:tc>
      </w:tr>
      <w:tr w14:paraId="079D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32" w:type="pct"/>
            <w:vAlign w:val="center"/>
          </w:tcPr>
          <w:p w14:paraId="1248DC50">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履约能力</w:t>
            </w:r>
          </w:p>
          <w:p w14:paraId="0584AD0B">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分）</w:t>
            </w:r>
          </w:p>
        </w:tc>
        <w:tc>
          <w:tcPr>
            <w:tcW w:w="410" w:type="pct"/>
            <w:vAlign w:val="center"/>
          </w:tcPr>
          <w:p w14:paraId="29F5CA3D">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分</w:t>
            </w:r>
          </w:p>
        </w:tc>
        <w:tc>
          <w:tcPr>
            <w:tcW w:w="3857" w:type="pct"/>
            <w:vAlign w:val="center"/>
          </w:tcPr>
          <w:p w14:paraId="5F6F80E8">
            <w:pPr>
              <w:keepNext w:val="0"/>
              <w:keepLines w:val="0"/>
              <w:widowControl/>
              <w:suppressLineNumbers w:val="0"/>
              <w:tabs>
                <w:tab w:val="left" w:pos="9240"/>
              </w:tabs>
              <w:spacing w:before="0" w:beforeAutospacing="0" w:after="0" w:afterAutospacing="0" w:line="360" w:lineRule="auto"/>
              <w:ind w:left="0" w:right="176" w:rightChars="84"/>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1、拟投入本项目项目负责人：具有信息系统项目管理师证书、系统分析师证书、网络工程师证书的，每提供一项得</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分，最高得</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分。</w:t>
            </w:r>
          </w:p>
          <w:p w14:paraId="0045E426">
            <w:pPr>
              <w:keepNext w:val="0"/>
              <w:keepLines w:val="0"/>
              <w:widowControl/>
              <w:suppressLineNumbers w:val="0"/>
              <w:tabs>
                <w:tab w:val="left" w:pos="9240"/>
              </w:tabs>
              <w:spacing w:before="0" w:beforeAutospacing="0" w:after="0" w:afterAutospacing="0" w:line="360" w:lineRule="auto"/>
              <w:ind w:left="0" w:right="176" w:rightChars="84"/>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2、拟投入本项目的团队成员（不含项目负责人）具有网络规划设计师证书、系统集成项目管理工程师，每提供一个人员证书，得1分，本项最高得</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分；同一人员、同专业证书不重复计分。</w:t>
            </w:r>
          </w:p>
          <w:p w14:paraId="0EC0CA0D">
            <w:pPr>
              <w:keepNext w:val="0"/>
              <w:keepLines w:val="0"/>
              <w:widowControl/>
              <w:suppressLineNumbers w:val="0"/>
              <w:tabs>
                <w:tab w:val="left" w:pos="9240"/>
              </w:tabs>
              <w:spacing w:before="0" w:beforeAutospacing="0" w:after="0" w:afterAutospacing="0" w:line="360" w:lineRule="auto"/>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注：投标时以上人员需提供人员证书原件扫描件及投标人与以上人员签订的劳动合同原件扫描件，未按要求提供证明材料的不得分。</w:t>
            </w:r>
          </w:p>
        </w:tc>
      </w:tr>
      <w:tr w14:paraId="02900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2" w:type="pct"/>
            <w:vAlign w:val="center"/>
          </w:tcPr>
          <w:p w14:paraId="3EF6E1A5">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售后服务</w:t>
            </w:r>
          </w:p>
          <w:p w14:paraId="5083FDF7">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tc>
        <w:tc>
          <w:tcPr>
            <w:tcW w:w="410" w:type="pct"/>
            <w:vAlign w:val="center"/>
          </w:tcPr>
          <w:p w14:paraId="6322B142">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tc>
        <w:tc>
          <w:tcPr>
            <w:tcW w:w="3857" w:type="pct"/>
            <w:vAlign w:val="center"/>
          </w:tcPr>
          <w:p w14:paraId="7D117062">
            <w:pPr>
              <w:keepNext w:val="0"/>
              <w:keepLines w:val="0"/>
              <w:widowControl/>
              <w:suppressLineNumbers w:val="0"/>
              <w:tabs>
                <w:tab w:val="left" w:pos="9240"/>
              </w:tabs>
              <w:spacing w:before="0" w:beforeAutospacing="0" w:after="0" w:afterAutospacing="0" w:line="400" w:lineRule="exact"/>
              <w:ind w:left="0" w:right="176" w:rightChars="84"/>
              <w:rPr>
                <w:rFonts w:hint="default" w:ascii="宋体" w:hAnsi="宋体" w:eastAsia="宋体" w:cs="仿宋"/>
                <w:color w:val="auto"/>
                <w:sz w:val="22"/>
                <w:szCs w:val="22"/>
                <w:highlight w:val="none"/>
              </w:rPr>
            </w:pPr>
            <w:r>
              <w:rPr>
                <w:rFonts w:hint="eastAsia" w:ascii="宋体" w:hAnsi="宋体" w:eastAsia="宋体" w:cs="仿宋"/>
                <w:color w:val="auto"/>
                <w:sz w:val="22"/>
                <w:szCs w:val="22"/>
                <w:highlight w:val="none"/>
              </w:rPr>
              <w:t>对投标人提供的售后技术服务方案进行打分，方案须包含但不限于以下内容：</w:t>
            </w:r>
          </w:p>
          <w:p w14:paraId="555D7ACC">
            <w:pPr>
              <w:keepNext w:val="0"/>
              <w:keepLines w:val="0"/>
              <w:widowControl/>
              <w:suppressLineNumbers w:val="0"/>
              <w:tabs>
                <w:tab w:val="left" w:pos="9240"/>
              </w:tabs>
              <w:spacing w:before="0" w:beforeAutospacing="0" w:after="0" w:afterAutospacing="0" w:line="400" w:lineRule="exact"/>
              <w:ind w:left="0" w:right="176" w:rightChars="84"/>
              <w:rPr>
                <w:rFonts w:hint="default" w:ascii="宋体" w:hAnsi="宋体" w:eastAsia="宋体" w:cs="仿宋"/>
                <w:color w:val="auto"/>
                <w:sz w:val="22"/>
                <w:szCs w:val="22"/>
                <w:highlight w:val="none"/>
              </w:rPr>
            </w:pPr>
            <w:r>
              <w:rPr>
                <w:rFonts w:hint="eastAsia" w:ascii="宋体" w:hAnsi="宋体" w:eastAsia="宋体" w:cs="仿宋"/>
                <w:color w:val="auto"/>
                <w:sz w:val="22"/>
                <w:szCs w:val="22"/>
                <w:highlight w:val="none"/>
              </w:rPr>
              <w:t>1、具体可行的售后服务体系；（0-</w:t>
            </w:r>
            <w:r>
              <w:rPr>
                <w:rFonts w:hint="eastAsia" w:ascii="宋体" w:hAnsi="宋体" w:eastAsia="宋体" w:cs="仿宋"/>
                <w:color w:val="auto"/>
                <w:sz w:val="22"/>
                <w:szCs w:val="22"/>
                <w:highlight w:val="none"/>
                <w:lang w:val="en-US" w:eastAsia="zh-CN"/>
              </w:rPr>
              <w:t>2.5</w:t>
            </w:r>
            <w:r>
              <w:rPr>
                <w:rFonts w:hint="eastAsia" w:ascii="宋体" w:hAnsi="宋体" w:eastAsia="宋体" w:cs="仿宋"/>
                <w:color w:val="auto"/>
                <w:sz w:val="22"/>
                <w:szCs w:val="22"/>
                <w:highlight w:val="none"/>
              </w:rPr>
              <w:t>分）</w:t>
            </w:r>
          </w:p>
          <w:p w14:paraId="5D2070D7">
            <w:pPr>
              <w:keepNext w:val="0"/>
              <w:keepLines w:val="0"/>
              <w:widowControl/>
              <w:suppressLineNumbers w:val="0"/>
              <w:tabs>
                <w:tab w:val="left" w:pos="9240"/>
              </w:tabs>
              <w:spacing w:before="0" w:beforeAutospacing="0" w:after="0" w:afterAutospacing="0" w:line="400" w:lineRule="exact"/>
              <w:ind w:left="0" w:right="176" w:rightChars="84"/>
              <w:rPr>
                <w:rFonts w:hint="default" w:ascii="宋体" w:hAnsi="宋体" w:eastAsia="宋体" w:cs="仿宋"/>
                <w:color w:val="auto"/>
                <w:sz w:val="22"/>
                <w:szCs w:val="22"/>
                <w:highlight w:val="none"/>
              </w:rPr>
            </w:pPr>
            <w:r>
              <w:rPr>
                <w:rFonts w:hint="eastAsia" w:ascii="宋体" w:hAnsi="宋体" w:eastAsia="宋体" w:cs="仿宋"/>
                <w:color w:val="auto"/>
                <w:sz w:val="22"/>
                <w:szCs w:val="22"/>
                <w:highlight w:val="none"/>
              </w:rPr>
              <w:t>服务承诺、售后服务内容、质保期内（含设备发生故障后，按照不同故障类型所采取的处置方案）的售后服务方案、售后服务响应时间、备品备件</w:t>
            </w:r>
            <w:r>
              <w:rPr>
                <w:rFonts w:hint="eastAsia" w:ascii="宋体" w:hAnsi="宋体" w:eastAsia="宋体" w:cs="仿宋"/>
                <w:color w:val="auto"/>
                <w:sz w:val="22"/>
                <w:szCs w:val="22"/>
                <w:highlight w:val="none"/>
                <w:lang w:val="en-US" w:eastAsia="zh-CN"/>
              </w:rPr>
              <w:t>方案5个方面</w:t>
            </w:r>
            <w:r>
              <w:rPr>
                <w:rFonts w:hint="eastAsia" w:ascii="宋体" w:hAnsi="宋体" w:eastAsia="宋体" w:cs="仿宋"/>
                <w:color w:val="auto"/>
                <w:sz w:val="22"/>
                <w:szCs w:val="22"/>
                <w:highlight w:val="none"/>
              </w:rPr>
              <w:t>全部</w:t>
            </w:r>
            <w:r>
              <w:rPr>
                <w:rFonts w:hint="eastAsia" w:ascii="宋体" w:hAnsi="宋体" w:eastAsia="宋体" w:cs="仿宋"/>
                <w:color w:val="auto"/>
                <w:sz w:val="22"/>
                <w:szCs w:val="22"/>
                <w:highlight w:val="none"/>
                <w:lang w:val="en-US" w:eastAsia="zh-CN"/>
              </w:rPr>
              <w:t>进行合理叙述承诺</w:t>
            </w:r>
            <w:r>
              <w:rPr>
                <w:rFonts w:hint="eastAsia" w:ascii="宋体" w:hAnsi="宋体" w:eastAsia="宋体" w:cs="仿宋"/>
                <w:color w:val="auto"/>
                <w:sz w:val="22"/>
                <w:szCs w:val="22"/>
                <w:highlight w:val="none"/>
              </w:rPr>
              <w:t>的得</w:t>
            </w:r>
            <w:r>
              <w:rPr>
                <w:rFonts w:hint="eastAsia" w:ascii="宋体" w:hAnsi="宋体" w:eastAsia="宋体" w:cs="仿宋"/>
                <w:color w:val="auto"/>
                <w:sz w:val="22"/>
                <w:szCs w:val="22"/>
                <w:highlight w:val="none"/>
                <w:lang w:val="en-US" w:eastAsia="zh-CN"/>
              </w:rPr>
              <w:t>2.5</w:t>
            </w:r>
            <w:r>
              <w:rPr>
                <w:rFonts w:hint="eastAsia" w:ascii="宋体" w:hAnsi="宋体" w:eastAsia="宋体" w:cs="仿宋"/>
                <w:color w:val="auto"/>
                <w:sz w:val="22"/>
                <w:szCs w:val="22"/>
                <w:highlight w:val="none"/>
              </w:rPr>
              <w:t>分；</w:t>
            </w:r>
            <w:r>
              <w:rPr>
                <w:rFonts w:hint="eastAsia" w:ascii="宋体" w:hAnsi="宋体" w:eastAsia="宋体" w:cs="仿宋"/>
                <w:color w:val="auto"/>
                <w:sz w:val="22"/>
                <w:szCs w:val="22"/>
                <w:highlight w:val="none"/>
                <w:lang w:val="en-US" w:eastAsia="zh-CN"/>
              </w:rPr>
              <w:t>3-4个方面进行合理叙述承诺</w:t>
            </w:r>
            <w:r>
              <w:rPr>
                <w:rFonts w:hint="eastAsia" w:ascii="宋体" w:hAnsi="宋体" w:eastAsia="宋体" w:cs="仿宋"/>
                <w:color w:val="auto"/>
                <w:sz w:val="22"/>
                <w:szCs w:val="22"/>
                <w:highlight w:val="none"/>
              </w:rPr>
              <w:t>的得</w:t>
            </w:r>
            <w:r>
              <w:rPr>
                <w:rFonts w:hint="eastAsia" w:ascii="宋体" w:hAnsi="宋体" w:eastAsia="宋体" w:cs="仿宋"/>
                <w:color w:val="auto"/>
                <w:sz w:val="22"/>
                <w:szCs w:val="22"/>
                <w:highlight w:val="none"/>
                <w:lang w:val="en-US" w:eastAsia="zh-CN"/>
              </w:rPr>
              <w:t>1.5</w:t>
            </w:r>
            <w:r>
              <w:rPr>
                <w:rFonts w:hint="eastAsia" w:ascii="宋体" w:hAnsi="宋体" w:eastAsia="宋体" w:cs="仿宋"/>
                <w:color w:val="auto"/>
                <w:sz w:val="22"/>
                <w:szCs w:val="22"/>
                <w:highlight w:val="none"/>
              </w:rPr>
              <w:t>分；</w:t>
            </w:r>
            <w:r>
              <w:rPr>
                <w:rFonts w:hint="eastAsia" w:ascii="宋体" w:hAnsi="宋体" w:eastAsia="宋体" w:cs="仿宋"/>
                <w:color w:val="auto"/>
                <w:sz w:val="22"/>
                <w:szCs w:val="22"/>
                <w:highlight w:val="none"/>
                <w:lang w:val="en-US" w:eastAsia="zh-CN"/>
              </w:rPr>
              <w:t>1-2个方面进行合理叙述承诺</w:t>
            </w:r>
            <w:r>
              <w:rPr>
                <w:rFonts w:hint="eastAsia" w:ascii="宋体" w:hAnsi="宋体" w:eastAsia="宋体" w:cs="仿宋"/>
                <w:color w:val="auto"/>
                <w:sz w:val="22"/>
                <w:szCs w:val="22"/>
                <w:highlight w:val="none"/>
              </w:rPr>
              <w:t>的得</w:t>
            </w:r>
            <w:r>
              <w:rPr>
                <w:rFonts w:hint="eastAsia" w:ascii="宋体" w:hAnsi="宋体" w:eastAsia="宋体" w:cs="仿宋"/>
                <w:color w:val="auto"/>
                <w:sz w:val="22"/>
                <w:szCs w:val="22"/>
                <w:highlight w:val="none"/>
                <w:lang w:val="en-US" w:eastAsia="zh-CN"/>
              </w:rPr>
              <w:t>0.5</w:t>
            </w:r>
            <w:r>
              <w:rPr>
                <w:rFonts w:hint="eastAsia" w:ascii="宋体" w:hAnsi="宋体" w:eastAsia="宋体" w:cs="仿宋"/>
                <w:color w:val="auto"/>
                <w:sz w:val="22"/>
                <w:szCs w:val="22"/>
                <w:highlight w:val="none"/>
              </w:rPr>
              <w:t>分</w:t>
            </w:r>
            <w:r>
              <w:rPr>
                <w:rFonts w:hint="eastAsia" w:ascii="宋体" w:hAnsi="宋体" w:eastAsia="宋体" w:cs="仿宋"/>
                <w:color w:val="auto"/>
                <w:sz w:val="22"/>
                <w:szCs w:val="22"/>
                <w:highlight w:val="none"/>
                <w:lang w:eastAsia="zh-CN"/>
              </w:rPr>
              <w:t>；</w:t>
            </w:r>
            <w:r>
              <w:rPr>
                <w:rFonts w:hint="eastAsia" w:ascii="宋体" w:hAnsi="宋体" w:eastAsia="宋体" w:cs="仿宋"/>
                <w:color w:val="auto"/>
                <w:sz w:val="22"/>
                <w:szCs w:val="22"/>
                <w:highlight w:val="none"/>
              </w:rPr>
              <w:t>方案内容有明显重大缺陷的或未提供的不得分。</w:t>
            </w:r>
          </w:p>
          <w:p w14:paraId="13C5CD08">
            <w:pPr>
              <w:keepNext w:val="0"/>
              <w:keepLines w:val="0"/>
              <w:widowControl/>
              <w:numPr>
                <w:ilvl w:val="0"/>
                <w:numId w:val="3"/>
              </w:numPr>
              <w:suppressLineNumbers w:val="0"/>
              <w:tabs>
                <w:tab w:val="left" w:pos="9240"/>
              </w:tabs>
              <w:spacing w:before="0" w:beforeAutospacing="0" w:after="0" w:afterAutospacing="0" w:line="400" w:lineRule="exact"/>
              <w:ind w:left="0" w:right="176" w:rightChars="84"/>
              <w:rPr>
                <w:rFonts w:hint="eastAsia" w:ascii="宋体" w:hAnsi="宋体" w:eastAsia="宋体" w:cs="仿宋"/>
                <w:color w:val="auto"/>
                <w:sz w:val="22"/>
                <w:szCs w:val="22"/>
                <w:highlight w:val="none"/>
              </w:rPr>
            </w:pPr>
            <w:r>
              <w:rPr>
                <w:rFonts w:hint="eastAsia" w:ascii="宋体" w:hAnsi="宋体" w:eastAsia="宋体" w:cs="仿宋"/>
                <w:color w:val="auto"/>
                <w:sz w:val="22"/>
                <w:szCs w:val="22"/>
                <w:highlight w:val="none"/>
              </w:rPr>
              <w:t>应急方案；（0-</w:t>
            </w:r>
            <w:r>
              <w:rPr>
                <w:rFonts w:hint="eastAsia" w:ascii="宋体" w:hAnsi="宋体" w:eastAsia="宋体" w:cs="仿宋"/>
                <w:color w:val="auto"/>
                <w:sz w:val="22"/>
                <w:szCs w:val="22"/>
                <w:highlight w:val="none"/>
                <w:lang w:val="en-US" w:eastAsia="zh-CN"/>
              </w:rPr>
              <w:t>2.5</w:t>
            </w:r>
            <w:r>
              <w:rPr>
                <w:rFonts w:hint="eastAsia" w:ascii="宋体" w:hAnsi="宋体" w:eastAsia="宋体" w:cs="仿宋"/>
                <w:color w:val="auto"/>
                <w:sz w:val="22"/>
                <w:szCs w:val="22"/>
                <w:highlight w:val="none"/>
              </w:rPr>
              <w:t>分）</w:t>
            </w:r>
          </w:p>
          <w:p w14:paraId="0F215DE3">
            <w:pPr>
              <w:keepNext w:val="0"/>
              <w:keepLines w:val="0"/>
              <w:widowControl/>
              <w:numPr>
                <w:ilvl w:val="0"/>
                <w:numId w:val="0"/>
              </w:numPr>
              <w:suppressLineNumbers w:val="0"/>
              <w:tabs>
                <w:tab w:val="left" w:pos="9240"/>
              </w:tabs>
              <w:spacing w:before="0" w:beforeAutospacing="0" w:after="0" w:afterAutospacing="0" w:line="400" w:lineRule="exact"/>
              <w:ind w:left="0" w:right="176" w:rightChars="84"/>
              <w:rPr>
                <w:rFonts w:hint="default" w:ascii="宋体" w:hAnsi="宋体" w:eastAsia="宋体" w:cs="仿宋"/>
                <w:color w:val="auto"/>
                <w:sz w:val="22"/>
                <w:szCs w:val="22"/>
                <w:highlight w:val="none"/>
              </w:rPr>
            </w:pPr>
            <w:r>
              <w:rPr>
                <w:rFonts w:hint="eastAsia" w:ascii="宋体" w:hAnsi="宋体" w:eastAsia="宋体" w:cs="仿宋"/>
                <w:color w:val="auto"/>
                <w:sz w:val="22"/>
                <w:szCs w:val="22"/>
                <w:highlight w:val="none"/>
              </w:rPr>
              <w:t>应急响应整体架构完整、响应时间合理、人员设备应急响应能力充足应急方案中具有针对本项目的合理化建议大于等于5条的得</w:t>
            </w:r>
            <w:r>
              <w:rPr>
                <w:rFonts w:hint="eastAsia" w:ascii="宋体" w:hAnsi="宋体" w:eastAsia="宋体" w:cs="仿宋"/>
                <w:color w:val="auto"/>
                <w:sz w:val="22"/>
                <w:szCs w:val="22"/>
                <w:highlight w:val="none"/>
                <w:lang w:val="en-US" w:eastAsia="zh-CN"/>
              </w:rPr>
              <w:t>2.5</w:t>
            </w:r>
            <w:r>
              <w:rPr>
                <w:rFonts w:hint="eastAsia" w:ascii="宋体" w:hAnsi="宋体" w:eastAsia="宋体" w:cs="仿宋"/>
                <w:color w:val="auto"/>
                <w:sz w:val="22"/>
                <w:szCs w:val="22"/>
                <w:highlight w:val="none"/>
              </w:rPr>
              <w:t>分；急响应整体架构完整、响应时间合理、人员设备应急响应能力充足应急方案中具有针对本项目的合理化建议3-4条的得</w:t>
            </w:r>
            <w:r>
              <w:rPr>
                <w:rFonts w:hint="eastAsia" w:ascii="宋体" w:hAnsi="宋体" w:eastAsia="宋体" w:cs="仿宋"/>
                <w:color w:val="auto"/>
                <w:sz w:val="22"/>
                <w:szCs w:val="22"/>
                <w:highlight w:val="none"/>
                <w:lang w:val="en-US" w:eastAsia="zh-CN"/>
              </w:rPr>
              <w:t>1.5</w:t>
            </w:r>
            <w:r>
              <w:rPr>
                <w:rFonts w:hint="eastAsia" w:ascii="宋体" w:hAnsi="宋体" w:eastAsia="宋体" w:cs="仿宋"/>
                <w:color w:val="auto"/>
                <w:sz w:val="22"/>
                <w:szCs w:val="22"/>
                <w:highlight w:val="none"/>
              </w:rPr>
              <w:t>分；急响应整体架构完整、响应时间合理、人员设备应急响应能力充足应急方案中具有针对本项目的合理化建议大于等于1-2条的得</w:t>
            </w:r>
            <w:r>
              <w:rPr>
                <w:rFonts w:hint="eastAsia" w:ascii="宋体" w:hAnsi="宋体" w:eastAsia="宋体" w:cs="仿宋"/>
                <w:color w:val="auto"/>
                <w:sz w:val="22"/>
                <w:szCs w:val="22"/>
                <w:highlight w:val="none"/>
                <w:lang w:val="en-US" w:eastAsia="zh-CN"/>
              </w:rPr>
              <w:t>0.5</w:t>
            </w:r>
            <w:r>
              <w:rPr>
                <w:rFonts w:hint="eastAsia" w:ascii="宋体" w:hAnsi="宋体" w:eastAsia="宋体" w:cs="仿宋"/>
                <w:color w:val="auto"/>
                <w:sz w:val="22"/>
                <w:szCs w:val="22"/>
                <w:highlight w:val="none"/>
              </w:rPr>
              <w:t>分；方案内容有明显重大缺陷的或未提供的不得分。</w:t>
            </w:r>
          </w:p>
          <w:p w14:paraId="63C9F6FB">
            <w:pPr>
              <w:keepNext w:val="0"/>
              <w:keepLines w:val="0"/>
              <w:widowControl/>
              <w:suppressLineNumbers w:val="0"/>
              <w:tabs>
                <w:tab w:val="left" w:pos="9240"/>
              </w:tabs>
              <w:spacing w:before="0" w:beforeAutospacing="0" w:after="0" w:afterAutospacing="0" w:line="400" w:lineRule="exact"/>
              <w:ind w:left="0" w:right="176" w:rightChars="84" w:firstLine="440" w:firstLineChars="200"/>
              <w:rPr>
                <w:rFonts w:hint="default" w:ascii="宋体" w:hAnsi="宋体" w:eastAsia="宋体" w:cs="宋体"/>
                <w:color w:val="auto"/>
                <w:sz w:val="22"/>
                <w:szCs w:val="22"/>
                <w:highlight w:val="none"/>
              </w:rPr>
            </w:pPr>
            <w:r>
              <w:rPr>
                <w:rFonts w:hint="eastAsia" w:ascii="宋体" w:hAnsi="宋体" w:eastAsia="宋体" w:cs="仿宋"/>
                <w:color w:val="auto"/>
                <w:sz w:val="22"/>
                <w:szCs w:val="22"/>
                <w:highlight w:val="none"/>
              </w:rPr>
              <w:t>评委根据方案内容进行评分，未提供或表述内容与本项目无关、套用其它方案、凭空编造、逻辑漏洞、科学原理错误以及不可能实现的夸大情形等不得分。</w:t>
            </w:r>
          </w:p>
        </w:tc>
      </w:tr>
      <w:tr w14:paraId="0F125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32" w:type="pct"/>
            <w:tcBorders>
              <w:left w:val="single" w:color="auto" w:sz="4" w:space="0"/>
              <w:bottom w:val="single" w:color="auto" w:sz="4" w:space="0"/>
              <w:right w:val="single" w:color="auto" w:sz="4" w:space="0"/>
            </w:tcBorders>
            <w:vAlign w:val="center"/>
          </w:tcPr>
          <w:p w14:paraId="300333CB">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类似业绩（3分）</w:t>
            </w:r>
          </w:p>
        </w:tc>
        <w:tc>
          <w:tcPr>
            <w:tcW w:w="410" w:type="pct"/>
            <w:tcBorders>
              <w:left w:val="single" w:color="auto" w:sz="4" w:space="0"/>
              <w:bottom w:val="single" w:color="auto" w:sz="4" w:space="0"/>
              <w:right w:val="single" w:color="auto" w:sz="4" w:space="0"/>
            </w:tcBorders>
            <w:vAlign w:val="center"/>
          </w:tcPr>
          <w:p w14:paraId="7E01D2F5">
            <w:pPr>
              <w:keepNext w:val="0"/>
              <w:keepLines w:val="0"/>
              <w:suppressLineNumbers w:val="0"/>
              <w:tabs>
                <w:tab w:val="left" w:pos="9240"/>
              </w:tabs>
              <w:spacing w:before="0" w:beforeAutospacing="0" w:after="0" w:afterAutospacing="0" w:line="460" w:lineRule="exact"/>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3分</w:t>
            </w:r>
          </w:p>
        </w:tc>
        <w:tc>
          <w:tcPr>
            <w:tcW w:w="3857" w:type="pct"/>
            <w:tcBorders>
              <w:top w:val="single" w:color="auto" w:sz="4" w:space="0"/>
              <w:left w:val="single" w:color="auto" w:sz="4" w:space="0"/>
              <w:bottom w:val="single" w:color="auto" w:sz="4" w:space="0"/>
              <w:right w:val="single" w:color="auto" w:sz="4" w:space="0"/>
            </w:tcBorders>
            <w:vAlign w:val="center"/>
          </w:tcPr>
          <w:p w14:paraId="3116235E">
            <w:pPr>
              <w:keepNext w:val="0"/>
              <w:keepLines w:val="0"/>
              <w:suppressLineNumbers w:val="0"/>
              <w:tabs>
                <w:tab w:val="left" w:pos="9240"/>
              </w:tabs>
              <w:spacing w:before="0" w:beforeAutospacing="0" w:after="0" w:afterAutospacing="0" w:line="460" w:lineRule="exact"/>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投标人提供202</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年1月1日以来</w:t>
            </w:r>
            <w:r>
              <w:rPr>
                <w:rFonts w:hint="eastAsia" w:ascii="宋体" w:hAnsi="宋体" w:eastAsia="宋体" w:cs="宋体"/>
                <w:color w:val="auto"/>
                <w:sz w:val="22"/>
                <w:szCs w:val="22"/>
                <w:highlight w:val="none"/>
                <w:lang w:val="en-US" w:eastAsia="zh-CN"/>
              </w:rPr>
              <w:t>类似</w:t>
            </w:r>
            <w:r>
              <w:rPr>
                <w:rFonts w:hint="eastAsia" w:ascii="宋体" w:hAnsi="宋体" w:eastAsia="宋体" w:cs="宋体"/>
                <w:color w:val="auto"/>
                <w:sz w:val="22"/>
                <w:szCs w:val="22"/>
                <w:highlight w:val="none"/>
              </w:rPr>
              <w:t>项目业绩合同（以合同签订日期为准），每提供1个得1分，最高得3分，未提供的不得分。业绩材料须提供项目合同扫描件上传至投标文件。</w:t>
            </w:r>
          </w:p>
        </w:tc>
      </w:tr>
      <w:tr w14:paraId="2042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 w:type="pct"/>
            <w:vAlign w:val="center"/>
          </w:tcPr>
          <w:p w14:paraId="18A8AFB2">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节能环保（</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w:t>
            </w:r>
          </w:p>
        </w:tc>
        <w:tc>
          <w:tcPr>
            <w:tcW w:w="410" w:type="pct"/>
            <w:vAlign w:val="center"/>
          </w:tcPr>
          <w:p w14:paraId="346DCCD1">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w:t>
            </w:r>
          </w:p>
        </w:tc>
        <w:tc>
          <w:tcPr>
            <w:tcW w:w="3857" w:type="pct"/>
            <w:vAlign w:val="center"/>
          </w:tcPr>
          <w:p w14:paraId="6EDD3180">
            <w:pPr>
              <w:keepNext w:val="0"/>
              <w:keepLines w:val="0"/>
              <w:suppressLineNumbers w:val="0"/>
              <w:tabs>
                <w:tab w:val="left" w:pos="9240"/>
              </w:tabs>
              <w:spacing w:before="0" w:beforeAutospacing="0" w:after="0" w:afterAutospacing="0" w:line="460" w:lineRule="exact"/>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1.投标产品属于财政部、国家发改委公布的“节能产品品目清单”范围内的，投标人提供国家确定的认证机构出具的、处于有效期之内的该节能产品认证证书复印件的，有1个得</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分，最多得</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分。如投标产品均属于政府强制采购节能产品品目清单范围内，本项不得分。</w:t>
            </w:r>
          </w:p>
          <w:p w14:paraId="1F2B32E8">
            <w:pPr>
              <w:keepNext w:val="0"/>
              <w:keepLines w:val="0"/>
              <w:suppressLineNumbers w:val="0"/>
              <w:tabs>
                <w:tab w:val="left" w:pos="9240"/>
              </w:tabs>
              <w:spacing w:before="0" w:beforeAutospacing="0" w:after="0" w:afterAutospacing="0" w:line="460" w:lineRule="exact"/>
              <w:ind w:left="0" w:right="176" w:rightChars="84"/>
              <w:jc w:val="left"/>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2.投标产品属于财政部、生态环境部公布的“环境标志产品品目清单”范围内的，投标人提供国家确定的认证机构出具的、处于有效期内的该环保产品认证证书复印件的，有1个得</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分，最多得</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分。</w:t>
            </w:r>
          </w:p>
        </w:tc>
      </w:tr>
      <w:tr w14:paraId="2A238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2" w:type="pct"/>
            <w:vAlign w:val="center"/>
          </w:tcPr>
          <w:p w14:paraId="5694259B">
            <w:pPr>
              <w:keepNext w:val="0"/>
              <w:keepLines w:val="0"/>
              <w:widowControl/>
              <w:suppressLineNumbers w:val="0"/>
              <w:spacing w:before="0" w:beforeAutospacing="0" w:after="0" w:afterAutospacing="0" w:line="360" w:lineRule="auto"/>
              <w:ind w:left="0" w:right="0"/>
              <w:jc w:val="center"/>
              <w:textAlignment w:val="center"/>
              <w:rPr>
                <w:rFonts w:hint="eastAsia" w:ascii="宋体" w:hAnsi="宋体" w:eastAsia="宋体" w:cs="宋体"/>
                <w:color w:val="auto"/>
                <w:sz w:val="22"/>
                <w:szCs w:val="22"/>
                <w:highlight w:val="none"/>
              </w:rPr>
            </w:pPr>
            <w:r>
              <w:rPr>
                <w:rFonts w:hint="eastAsia" w:ascii="宋体" w:hAnsi="宋体" w:eastAsia="宋体" w:cs="Times New Roman"/>
                <w:kern w:val="2"/>
                <w:sz w:val="22"/>
                <w:szCs w:val="22"/>
              </w:rPr>
              <w:t>诚信投标</w:t>
            </w:r>
            <w:r>
              <w:rPr>
                <w:rFonts w:hint="eastAsia" w:ascii="宋体" w:hAnsi="宋体" w:eastAsia="宋体" w:cs="Times New Roman"/>
                <w:kern w:val="2"/>
                <w:sz w:val="22"/>
                <w:szCs w:val="22"/>
                <w:lang w:val="en-US" w:eastAsia="zh-CN"/>
              </w:rPr>
              <w:t xml:space="preserve"> </w:t>
            </w:r>
            <w:r>
              <w:rPr>
                <w:rFonts w:hint="eastAsia" w:ascii="宋体" w:hAnsi="宋体" w:eastAsia="宋体" w:cs="Times New Roman"/>
                <w:kern w:val="2"/>
                <w:sz w:val="22"/>
                <w:szCs w:val="22"/>
              </w:rPr>
              <w:t>（1分）</w:t>
            </w:r>
          </w:p>
        </w:tc>
        <w:tc>
          <w:tcPr>
            <w:tcW w:w="410" w:type="pct"/>
            <w:vAlign w:val="center"/>
          </w:tcPr>
          <w:p w14:paraId="12B807DD">
            <w:pPr>
              <w:keepNext w:val="0"/>
              <w:keepLines w:val="0"/>
              <w:widowControl/>
              <w:suppressLineNumbers w:val="0"/>
              <w:tabs>
                <w:tab w:val="left" w:pos="9240"/>
              </w:tabs>
              <w:spacing w:before="0" w:beforeAutospacing="0" w:after="0" w:afterAutospacing="0" w:line="360" w:lineRule="auto"/>
              <w:ind w:left="0" w:right="176" w:rightChars="84"/>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1分</w:t>
            </w:r>
          </w:p>
        </w:tc>
        <w:tc>
          <w:tcPr>
            <w:tcW w:w="3857" w:type="pct"/>
            <w:vAlign w:val="center"/>
          </w:tcPr>
          <w:p w14:paraId="1EA6EEE1">
            <w:pPr>
              <w:keepNext w:val="0"/>
              <w:keepLines w:val="0"/>
              <w:suppressLineNumbers w:val="0"/>
              <w:tabs>
                <w:tab w:val="left" w:pos="9240"/>
              </w:tabs>
              <w:spacing w:before="0" w:beforeAutospacing="0" w:after="0" w:afterAutospacing="0" w:line="460" w:lineRule="exact"/>
              <w:ind w:left="0" w:right="176" w:rightChars="84"/>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投标人提交签署并盖章《</w:t>
            </w:r>
            <w:r>
              <w:rPr>
                <w:rFonts w:hint="eastAsia" w:ascii="宋体" w:hAnsi="宋体" w:eastAsia="宋体" w:cs="宋体"/>
                <w:color w:val="auto"/>
                <w:sz w:val="22"/>
                <w:szCs w:val="22"/>
                <w:highlight w:val="none"/>
                <w:lang w:eastAsia="zh-CN"/>
              </w:rPr>
              <w:t>盐城市大丰区政府采购事前信用承诺书</w:t>
            </w:r>
            <w:r>
              <w:rPr>
                <w:rFonts w:hint="eastAsia" w:ascii="宋体" w:hAnsi="宋体" w:eastAsia="宋体" w:cs="宋体"/>
                <w:color w:val="auto"/>
                <w:sz w:val="22"/>
                <w:szCs w:val="22"/>
                <w:highlight w:val="none"/>
              </w:rPr>
              <w:t>》原件扫描上传的得1分；没有提供的不得分。</w:t>
            </w:r>
          </w:p>
        </w:tc>
      </w:tr>
    </w:tbl>
    <w:p w14:paraId="236F4465">
      <w:pPr>
        <w:keepNext/>
        <w:keepLines/>
        <w:tabs>
          <w:tab w:val="left" w:pos="1260"/>
          <w:tab w:val="left" w:pos="9240"/>
        </w:tabs>
        <w:spacing w:line="360" w:lineRule="auto"/>
        <w:ind w:right="176" w:rightChars="84" w:firstLine="482"/>
        <w:jc w:val="left"/>
        <w:outlineLvl w:val="2"/>
        <w:rPr>
          <w:rFonts w:ascii="宋体" w:hAnsi="宋体" w:eastAsia="宋体" w:cs="宋体"/>
          <w:b/>
          <w:bCs/>
          <w:color w:val="auto"/>
          <w:sz w:val="24"/>
          <w:highlight w:val="none"/>
        </w:rPr>
      </w:pPr>
    </w:p>
    <w:p w14:paraId="193A77AF">
      <w:pPr>
        <w:keepNext/>
        <w:keepLines/>
        <w:tabs>
          <w:tab w:val="left" w:pos="1260"/>
          <w:tab w:val="left" w:pos="9240"/>
        </w:tabs>
        <w:spacing w:line="360" w:lineRule="auto"/>
        <w:ind w:right="176" w:rightChars="84" w:firstLine="482"/>
        <w:jc w:val="left"/>
        <w:outlineLvl w:val="2"/>
        <w:rPr>
          <w:rFonts w:ascii="宋体" w:hAnsi="宋体" w:eastAsia="宋体" w:cs="宋体"/>
          <w:b/>
          <w:bCs/>
          <w:color w:val="auto"/>
          <w:sz w:val="24"/>
          <w:highlight w:val="none"/>
        </w:rPr>
      </w:pPr>
      <w:r>
        <w:rPr>
          <w:rFonts w:hint="eastAsia" w:ascii="宋体" w:hAnsi="宋体" w:eastAsia="宋体" w:cs="宋体"/>
          <w:b/>
          <w:bCs/>
          <w:color w:val="auto"/>
          <w:sz w:val="24"/>
          <w:highlight w:val="none"/>
        </w:rPr>
        <w:t>2、详细评审</w:t>
      </w:r>
    </w:p>
    <w:p w14:paraId="650CBD7A">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2.1 在详细评审发现符合“无效标书条款”的，应当作为无效投标予以否决，其投标报价亦不作为评标基准价的依据。</w:t>
      </w:r>
    </w:p>
    <w:p w14:paraId="394B010A">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2.2 评标委员会按本章规定的量化因素和分值进行打分，并计算出综合评估得分。</w:t>
      </w:r>
    </w:p>
    <w:p w14:paraId="3A21BF34">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2.3 评分分值计算保留小数点后两位，小数点后第三位“四舍五入”。</w:t>
      </w:r>
    </w:p>
    <w:p w14:paraId="011104DD">
      <w:pPr>
        <w:keepNext/>
        <w:keepLines/>
        <w:tabs>
          <w:tab w:val="left" w:pos="1260"/>
          <w:tab w:val="left" w:pos="9240"/>
        </w:tabs>
        <w:spacing w:line="360" w:lineRule="auto"/>
        <w:ind w:right="176" w:rightChars="84" w:firstLine="482"/>
        <w:jc w:val="left"/>
        <w:outlineLvl w:val="2"/>
        <w:rPr>
          <w:rFonts w:ascii="宋体" w:hAnsi="宋体" w:eastAsia="宋体" w:cs="宋体"/>
          <w:b/>
          <w:bCs/>
          <w:color w:val="auto"/>
          <w:sz w:val="24"/>
          <w:highlight w:val="none"/>
        </w:rPr>
      </w:pPr>
      <w:bookmarkStart w:id="420" w:name="_Toc397928609"/>
      <w:bookmarkStart w:id="421" w:name="_Toc27318"/>
      <w:bookmarkStart w:id="422" w:name="_Toc5826"/>
      <w:r>
        <w:rPr>
          <w:rFonts w:hint="eastAsia" w:ascii="宋体" w:hAnsi="宋体" w:eastAsia="宋体" w:cs="宋体"/>
          <w:b/>
          <w:bCs/>
          <w:color w:val="auto"/>
          <w:sz w:val="24"/>
          <w:highlight w:val="none"/>
        </w:rPr>
        <w:t>3、投标文件的澄清和补正</w:t>
      </w:r>
      <w:bookmarkEnd w:id="420"/>
      <w:bookmarkEnd w:id="421"/>
      <w:bookmarkEnd w:id="422"/>
    </w:p>
    <w:p w14:paraId="018EFABE">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3.1 在评标过程中，评标委员会可以书面形式要求投标人对所提交投标文件中不明确的内容进行书面澄清或说明，或者对细微偏差进行补正。评标委员会不接受投标人主动提出的澄清、说明或补正。</w:t>
      </w:r>
    </w:p>
    <w:p w14:paraId="3F441821">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3.2 澄清、说明和补正不得改变投标文件的实质性内容（算术性错误修正的除外）。投标人的书面澄清、说明和补正属于投标文件的组成部分。</w:t>
      </w:r>
    </w:p>
    <w:p w14:paraId="178A81E7">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 评标委员会对投标人提交的澄清、说明或补正有疑问的，可以要求投标人进一步澄清、说明或补正。</w:t>
      </w:r>
    </w:p>
    <w:p w14:paraId="5EA876E0">
      <w:pPr>
        <w:keepNext/>
        <w:keepLines/>
        <w:tabs>
          <w:tab w:val="left" w:pos="1260"/>
          <w:tab w:val="left" w:pos="9240"/>
        </w:tabs>
        <w:spacing w:line="360" w:lineRule="auto"/>
        <w:ind w:right="176" w:rightChars="84" w:firstLine="482"/>
        <w:jc w:val="left"/>
        <w:outlineLvl w:val="2"/>
        <w:rPr>
          <w:rFonts w:ascii="宋体" w:hAnsi="宋体" w:eastAsia="宋体" w:cs="宋体"/>
          <w:bCs/>
          <w:color w:val="auto"/>
          <w:sz w:val="24"/>
          <w:highlight w:val="none"/>
        </w:rPr>
      </w:pPr>
      <w:bookmarkStart w:id="423" w:name="_Toc29288"/>
      <w:bookmarkStart w:id="424" w:name="_Toc11953"/>
      <w:bookmarkStart w:id="425" w:name="_Toc397928610"/>
      <w:r>
        <w:rPr>
          <w:rFonts w:hint="eastAsia" w:ascii="宋体" w:hAnsi="宋体" w:eastAsia="宋体" w:cs="宋体"/>
          <w:b/>
          <w:bCs/>
          <w:color w:val="auto"/>
          <w:sz w:val="24"/>
          <w:highlight w:val="none"/>
        </w:rPr>
        <w:t>4、推荐中标候选人或直接确定中标人</w:t>
      </w:r>
      <w:bookmarkEnd w:id="423"/>
      <w:bookmarkEnd w:id="424"/>
      <w:bookmarkEnd w:id="425"/>
    </w:p>
    <w:p w14:paraId="723621D7">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4.1除投标人须知前附表授权直接确定中标人外，评标委员会在推荐中标候选人时，应遵照以下原则:</w:t>
      </w:r>
    </w:p>
    <w:p w14:paraId="03840D02">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4.2评标委员会按照最终得分由高至低的次序排列，并根据投标人须知前附表规定的中标候选人数量，将排序在前的投标人推荐为中标候选人。</w:t>
      </w:r>
    </w:p>
    <w:p w14:paraId="73F45872">
      <w:pPr>
        <w:keepNext/>
        <w:keepLines/>
        <w:tabs>
          <w:tab w:val="left" w:pos="1260"/>
          <w:tab w:val="left" w:pos="9240"/>
        </w:tabs>
        <w:spacing w:line="360" w:lineRule="auto"/>
        <w:ind w:right="176" w:rightChars="84" w:firstLine="482"/>
        <w:jc w:val="left"/>
        <w:outlineLvl w:val="2"/>
        <w:rPr>
          <w:rFonts w:ascii="宋体" w:hAnsi="宋体" w:eastAsia="宋体" w:cs="宋体"/>
          <w:b/>
          <w:bCs/>
          <w:color w:val="auto"/>
          <w:sz w:val="24"/>
          <w:highlight w:val="none"/>
        </w:rPr>
      </w:pPr>
      <w:bookmarkStart w:id="426" w:name="_Toc12331"/>
      <w:bookmarkStart w:id="427" w:name="_Toc397928611"/>
      <w:r>
        <w:rPr>
          <w:rFonts w:hint="eastAsia" w:ascii="宋体" w:hAnsi="宋体" w:eastAsia="宋体" w:cs="宋体"/>
          <w:b/>
          <w:bCs/>
          <w:color w:val="auto"/>
          <w:sz w:val="24"/>
          <w:highlight w:val="none"/>
        </w:rPr>
        <w:t>5、提交评标报告</w:t>
      </w:r>
      <w:bookmarkEnd w:id="426"/>
      <w:bookmarkEnd w:id="427"/>
    </w:p>
    <w:p w14:paraId="4BEB5573">
      <w:pPr>
        <w:tabs>
          <w:tab w:val="left" w:pos="9240"/>
        </w:tabs>
        <w:spacing w:line="360" w:lineRule="auto"/>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评标委员会完成评标后，应当向采购人提交书面评标报告。评标报告应当由全体评标委员会成员签字，并于评标结束时抄送有关行政监督部门。</w:t>
      </w:r>
    </w:p>
    <w:bookmarkEnd w:id="419"/>
    <w:p w14:paraId="36A4823B">
      <w:pPr>
        <w:keepNext/>
        <w:keepLines/>
        <w:tabs>
          <w:tab w:val="left" w:pos="840"/>
          <w:tab w:val="left" w:pos="9240"/>
        </w:tabs>
        <w:spacing w:line="480" w:lineRule="exact"/>
        <w:ind w:right="176" w:rightChars="84" w:firstLine="482"/>
        <w:jc w:val="left"/>
        <w:outlineLvl w:val="1"/>
        <w:rPr>
          <w:rFonts w:ascii="宋体" w:hAnsi="宋体" w:eastAsia="宋体" w:cs="宋体"/>
          <w:b/>
          <w:bCs/>
          <w:color w:val="auto"/>
          <w:sz w:val="24"/>
          <w:highlight w:val="none"/>
        </w:rPr>
      </w:pPr>
      <w:bookmarkStart w:id="428" w:name="_Toc18159"/>
      <w:r>
        <w:rPr>
          <w:rFonts w:hint="eastAsia" w:ascii="宋体" w:hAnsi="宋体" w:eastAsia="宋体" w:cs="宋体"/>
          <w:b/>
          <w:bCs/>
          <w:color w:val="auto"/>
          <w:sz w:val="24"/>
          <w:highlight w:val="none"/>
        </w:rPr>
        <w:t>三、通用评标规则</w:t>
      </w:r>
      <w:bookmarkEnd w:id="428"/>
    </w:p>
    <w:p w14:paraId="3BA13161">
      <w:pPr>
        <w:keepNext/>
        <w:keepLines/>
        <w:tabs>
          <w:tab w:val="left" w:pos="1260"/>
          <w:tab w:val="left" w:pos="9240"/>
        </w:tabs>
        <w:spacing w:line="480" w:lineRule="exact"/>
        <w:ind w:right="176" w:rightChars="84" w:firstLine="482"/>
        <w:jc w:val="left"/>
        <w:outlineLvl w:val="2"/>
        <w:rPr>
          <w:rFonts w:ascii="宋体" w:hAnsi="宋体" w:eastAsia="宋体" w:cs="宋体"/>
          <w:b/>
          <w:bCs/>
          <w:color w:val="auto"/>
          <w:sz w:val="24"/>
          <w:highlight w:val="none"/>
        </w:rPr>
      </w:pPr>
      <w:bookmarkStart w:id="429" w:name="_Toc26302"/>
      <w:r>
        <w:rPr>
          <w:rFonts w:hint="eastAsia" w:ascii="宋体" w:hAnsi="宋体" w:eastAsia="宋体" w:cs="宋体"/>
          <w:b/>
          <w:bCs/>
          <w:color w:val="auto"/>
          <w:sz w:val="24"/>
          <w:highlight w:val="none"/>
        </w:rPr>
        <w:t>1、评标程序</w:t>
      </w:r>
      <w:bookmarkEnd w:id="429"/>
    </w:p>
    <w:p w14:paraId="2C6FD720">
      <w:pPr>
        <w:tabs>
          <w:tab w:val="left" w:pos="9240"/>
        </w:tabs>
        <w:spacing w:line="48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资质标、商务标、技术标应分别评审，评审后不得更改。</w:t>
      </w:r>
    </w:p>
    <w:p w14:paraId="6BD29983">
      <w:pPr>
        <w:keepNext/>
        <w:keepLines/>
        <w:tabs>
          <w:tab w:val="left" w:pos="1260"/>
          <w:tab w:val="left" w:pos="9240"/>
        </w:tabs>
        <w:spacing w:line="480" w:lineRule="exact"/>
        <w:ind w:right="176" w:rightChars="84" w:firstLine="482"/>
        <w:jc w:val="left"/>
        <w:outlineLvl w:val="2"/>
        <w:rPr>
          <w:rFonts w:ascii="宋体" w:hAnsi="宋体" w:eastAsia="宋体" w:cs="宋体"/>
          <w:b/>
          <w:bCs/>
          <w:color w:val="auto"/>
          <w:sz w:val="24"/>
          <w:highlight w:val="none"/>
        </w:rPr>
      </w:pPr>
      <w:bookmarkStart w:id="430" w:name="_Toc19373"/>
      <w:r>
        <w:rPr>
          <w:rFonts w:hint="eastAsia" w:ascii="宋体" w:hAnsi="宋体" w:eastAsia="宋体" w:cs="宋体"/>
          <w:b/>
          <w:bCs/>
          <w:color w:val="auto"/>
          <w:sz w:val="24"/>
          <w:highlight w:val="none"/>
        </w:rPr>
        <w:t>2、计价文件评审规定</w:t>
      </w:r>
      <w:bookmarkEnd w:id="430"/>
    </w:p>
    <w:p w14:paraId="24F456F8">
      <w:pPr>
        <w:tabs>
          <w:tab w:val="left" w:pos="9240"/>
        </w:tabs>
        <w:spacing w:line="48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评标委员会认为投标人的投标报价有可能低于其个别成本时，应当要求投标人以书面方式作出澄清，并提供相关证明材料后再进行认定。</w:t>
      </w:r>
    </w:p>
    <w:p w14:paraId="19FD571B">
      <w:pPr>
        <w:keepNext/>
        <w:keepLines/>
        <w:tabs>
          <w:tab w:val="left" w:pos="1260"/>
          <w:tab w:val="left" w:pos="9240"/>
        </w:tabs>
        <w:spacing w:line="480" w:lineRule="exact"/>
        <w:ind w:right="176" w:rightChars="84" w:firstLine="482"/>
        <w:jc w:val="left"/>
        <w:outlineLvl w:val="2"/>
        <w:rPr>
          <w:rFonts w:ascii="宋体" w:hAnsi="宋体" w:eastAsia="宋体" w:cs="宋体"/>
          <w:b/>
          <w:bCs/>
          <w:color w:val="auto"/>
          <w:sz w:val="24"/>
          <w:highlight w:val="none"/>
        </w:rPr>
      </w:pPr>
      <w:bookmarkStart w:id="431" w:name="_Toc19179"/>
      <w:r>
        <w:rPr>
          <w:rFonts w:hint="eastAsia" w:ascii="宋体" w:hAnsi="宋体" w:eastAsia="宋体" w:cs="宋体"/>
          <w:b/>
          <w:bCs/>
          <w:color w:val="auto"/>
          <w:sz w:val="24"/>
          <w:highlight w:val="none"/>
        </w:rPr>
        <w:t>3、打分</w:t>
      </w:r>
      <w:bookmarkEnd w:id="431"/>
    </w:p>
    <w:p w14:paraId="049B3BC7">
      <w:pPr>
        <w:tabs>
          <w:tab w:val="left" w:pos="9240"/>
        </w:tabs>
        <w:spacing w:line="48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评委应记名打分，打分未记名的和未按招标文件规定的打分办法打分的，一律按无效票处理。设区间计分项的，其计分包括区间两端值。评审过程中，除招标文件另有规定外，如发现投标文件无相关资料、数据的，经评标委员会认定，可确定其该项不得分（即取消保底分值）。</w:t>
      </w:r>
    </w:p>
    <w:p w14:paraId="553CC01C">
      <w:pPr>
        <w:keepNext/>
        <w:keepLines/>
        <w:tabs>
          <w:tab w:val="left" w:pos="1260"/>
          <w:tab w:val="left" w:pos="9240"/>
        </w:tabs>
        <w:spacing w:line="480" w:lineRule="exact"/>
        <w:ind w:right="176" w:rightChars="84" w:firstLine="482"/>
        <w:jc w:val="left"/>
        <w:outlineLvl w:val="2"/>
        <w:rPr>
          <w:rFonts w:ascii="宋体" w:hAnsi="宋体" w:eastAsia="宋体" w:cs="宋体"/>
          <w:b/>
          <w:bCs/>
          <w:color w:val="auto"/>
          <w:sz w:val="24"/>
          <w:highlight w:val="none"/>
        </w:rPr>
      </w:pPr>
      <w:bookmarkStart w:id="432" w:name="_Toc27772"/>
      <w:r>
        <w:rPr>
          <w:rFonts w:hint="eastAsia" w:ascii="宋体" w:hAnsi="宋体" w:eastAsia="宋体" w:cs="宋体"/>
          <w:b/>
          <w:bCs/>
          <w:color w:val="auto"/>
          <w:sz w:val="24"/>
          <w:highlight w:val="none"/>
        </w:rPr>
        <w:t>4、争议处理</w:t>
      </w:r>
      <w:bookmarkEnd w:id="432"/>
    </w:p>
    <w:p w14:paraId="5FEEAB98">
      <w:pPr>
        <w:tabs>
          <w:tab w:val="left" w:pos="9240"/>
        </w:tabs>
        <w:spacing w:line="48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评标中发生重大情况或重大争议，需要进一步调查了解、协调处理的，现场监督人员报招标投标管理部门同意后可暂时休会，待有关问题得到澄清后再行复会。休会期间，所有招投标资料一律封存盐城市大丰区公共资源交易中心评标室，所有与会人员一律不得泄露评标情况。</w:t>
      </w:r>
    </w:p>
    <w:p w14:paraId="1D8E9E03">
      <w:pPr>
        <w:keepNext/>
        <w:keepLines/>
        <w:tabs>
          <w:tab w:val="left" w:pos="1260"/>
          <w:tab w:val="left" w:pos="9240"/>
        </w:tabs>
        <w:spacing w:line="480" w:lineRule="exact"/>
        <w:ind w:right="176" w:rightChars="84" w:firstLine="482"/>
        <w:jc w:val="left"/>
        <w:outlineLvl w:val="2"/>
        <w:rPr>
          <w:rFonts w:ascii="宋体" w:hAnsi="宋体" w:eastAsia="宋体" w:cs="宋体"/>
          <w:b/>
          <w:bCs/>
          <w:color w:val="auto"/>
          <w:sz w:val="24"/>
          <w:highlight w:val="none"/>
        </w:rPr>
      </w:pPr>
      <w:bookmarkStart w:id="433" w:name="_Toc29659"/>
      <w:r>
        <w:rPr>
          <w:rFonts w:hint="eastAsia" w:ascii="宋体" w:hAnsi="宋体" w:eastAsia="宋体" w:cs="宋体"/>
          <w:b/>
          <w:bCs/>
          <w:color w:val="auto"/>
          <w:sz w:val="24"/>
          <w:highlight w:val="none"/>
        </w:rPr>
        <w:t>5、违法违纪行为</w:t>
      </w:r>
      <w:bookmarkEnd w:id="433"/>
    </w:p>
    <w:p w14:paraId="17C86B9B">
      <w:pPr>
        <w:tabs>
          <w:tab w:val="left" w:pos="9240"/>
        </w:tabs>
        <w:spacing w:line="480" w:lineRule="exact"/>
        <w:ind w:right="176" w:rightChars="84"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在招投标过程中发生行贿受贿、扰乱招投标活动秩序及其他严重违法违纪行为的，一律取消有关责任人参与招投标活动的资格；影响评审结果的，应宣布评审结果无效。</w:t>
      </w:r>
    </w:p>
    <w:p w14:paraId="7E067A6D">
      <w:pPr>
        <w:tabs>
          <w:tab w:val="left" w:pos="9240"/>
        </w:tabs>
        <w:spacing w:line="480" w:lineRule="exact"/>
        <w:ind w:right="176" w:rightChars="84" w:firstLine="482"/>
        <w:rPr>
          <w:rFonts w:hAnsi="宋体" w:cs="宋体"/>
          <w:b/>
          <w:bCs/>
          <w:color w:val="auto"/>
          <w:sz w:val="24"/>
          <w:highlight w:val="none"/>
        </w:rPr>
      </w:pPr>
    </w:p>
    <w:p w14:paraId="634DF574">
      <w:pPr>
        <w:pStyle w:val="30"/>
        <w:keepNext/>
        <w:tabs>
          <w:tab w:val="left" w:pos="9240"/>
        </w:tabs>
        <w:spacing w:beforeAutospacing="0" w:afterAutospacing="0"/>
        <w:ind w:right="176" w:rightChars="84"/>
        <w:rPr>
          <w:rFonts w:hint="eastAsia" w:ascii="黑体" w:hAnsi="宋体" w:eastAsia="黑体" w:cs="黑体"/>
          <w:color w:val="auto"/>
          <w:sz w:val="44"/>
          <w:szCs w:val="44"/>
          <w:highlight w:val="none"/>
        </w:rPr>
        <w:sectPr>
          <w:footerReference r:id="rId12" w:type="default"/>
          <w:pgSz w:w="11906" w:h="16838"/>
          <w:pgMar w:top="1440" w:right="1134" w:bottom="1440" w:left="1134" w:header="851" w:footer="992" w:gutter="0"/>
          <w:pgNumType w:fmt="decimal"/>
          <w:cols w:space="425" w:num="1"/>
          <w:docGrid w:linePitch="360" w:charSpace="0"/>
        </w:sectPr>
      </w:pPr>
    </w:p>
    <w:p w14:paraId="24784448">
      <w:pPr>
        <w:pStyle w:val="30"/>
        <w:keepNext/>
        <w:tabs>
          <w:tab w:val="left" w:pos="9240"/>
        </w:tabs>
        <w:spacing w:beforeAutospacing="0" w:afterAutospacing="0"/>
        <w:ind w:right="176" w:rightChars="84"/>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p>
    <w:p w14:paraId="27131F7D">
      <w:pPr>
        <w:pStyle w:val="30"/>
        <w:keepNext/>
        <w:tabs>
          <w:tab w:val="left" w:pos="9240"/>
        </w:tabs>
        <w:spacing w:beforeAutospacing="0" w:afterAutospacing="0"/>
        <w:ind w:right="176" w:rightChars="84" w:firstLine="880"/>
        <w:jc w:val="center"/>
        <w:rPr>
          <w:rFonts w:ascii="黑体" w:hAnsi="宋体" w:eastAsia="黑体" w:cs="黑体"/>
          <w:color w:val="auto"/>
          <w:sz w:val="44"/>
          <w:szCs w:val="44"/>
          <w:highlight w:val="none"/>
        </w:rPr>
      </w:pPr>
    </w:p>
    <w:p w14:paraId="21657623">
      <w:pPr>
        <w:pStyle w:val="30"/>
        <w:keepNext/>
        <w:tabs>
          <w:tab w:val="left" w:pos="9240"/>
        </w:tabs>
        <w:spacing w:beforeAutospacing="0" w:afterAutospacing="0"/>
        <w:ind w:right="176" w:rightChars="84" w:firstLine="880"/>
        <w:jc w:val="center"/>
        <w:rPr>
          <w:rFonts w:ascii="黑体" w:hAnsi="宋体" w:eastAsia="黑体" w:cs="黑体"/>
          <w:color w:val="auto"/>
          <w:sz w:val="44"/>
          <w:szCs w:val="44"/>
          <w:highlight w:val="none"/>
        </w:rPr>
      </w:pPr>
    </w:p>
    <w:p w14:paraId="6252B3B6">
      <w:pPr>
        <w:pStyle w:val="30"/>
        <w:keepNext/>
        <w:tabs>
          <w:tab w:val="left" w:pos="9240"/>
        </w:tabs>
        <w:spacing w:beforeAutospacing="0" w:afterAutospacing="0"/>
        <w:ind w:right="176" w:rightChars="84" w:firstLine="880"/>
        <w:jc w:val="center"/>
        <w:rPr>
          <w:rFonts w:ascii="黑体" w:hAnsi="宋体" w:eastAsia="黑体" w:cs="黑体"/>
          <w:color w:val="auto"/>
          <w:sz w:val="44"/>
          <w:szCs w:val="44"/>
          <w:highlight w:val="none"/>
        </w:rPr>
      </w:pPr>
    </w:p>
    <w:p w14:paraId="3CDB4EAD">
      <w:pPr>
        <w:pStyle w:val="30"/>
        <w:keepNext/>
        <w:tabs>
          <w:tab w:val="left" w:pos="9240"/>
        </w:tabs>
        <w:spacing w:beforeAutospacing="0" w:afterAutospacing="0"/>
        <w:ind w:right="176" w:rightChars="84" w:firstLine="880"/>
        <w:jc w:val="center"/>
        <w:rPr>
          <w:rFonts w:ascii="黑体" w:hAnsi="宋体" w:eastAsia="黑体" w:cs="黑体"/>
          <w:color w:val="auto"/>
          <w:sz w:val="44"/>
          <w:szCs w:val="44"/>
          <w:highlight w:val="none"/>
        </w:rPr>
      </w:pPr>
    </w:p>
    <w:p w14:paraId="3DD26AE0">
      <w:pPr>
        <w:pStyle w:val="30"/>
        <w:keepNext/>
        <w:tabs>
          <w:tab w:val="left" w:pos="9240"/>
        </w:tabs>
        <w:spacing w:beforeAutospacing="0" w:afterAutospacing="0"/>
        <w:ind w:right="176" w:rightChars="84" w:firstLine="880"/>
        <w:jc w:val="center"/>
        <w:rPr>
          <w:rFonts w:ascii="黑体" w:hAnsi="宋体" w:eastAsia="黑体" w:cs="黑体"/>
          <w:color w:val="auto"/>
          <w:sz w:val="44"/>
          <w:szCs w:val="44"/>
          <w:highlight w:val="none"/>
        </w:rPr>
      </w:pPr>
    </w:p>
    <w:p w14:paraId="40D6E243">
      <w:pPr>
        <w:pStyle w:val="30"/>
        <w:keepNext/>
        <w:tabs>
          <w:tab w:val="left" w:pos="9240"/>
        </w:tabs>
        <w:spacing w:beforeAutospacing="0" w:afterAutospacing="0"/>
        <w:ind w:right="176" w:rightChars="84"/>
        <w:jc w:val="center"/>
        <w:rPr>
          <w:color w:val="auto"/>
          <w:highlight w:val="none"/>
        </w:rPr>
      </w:pPr>
    </w:p>
    <w:p w14:paraId="4D3AE893">
      <w:pPr>
        <w:pStyle w:val="30"/>
        <w:tabs>
          <w:tab w:val="left" w:pos="9240"/>
        </w:tabs>
        <w:spacing w:beforeAutospacing="0" w:afterAutospacing="0"/>
        <w:ind w:right="176" w:rightChars="84" w:firstLine="1446"/>
        <w:jc w:val="center"/>
        <w:rPr>
          <w:color w:val="auto"/>
          <w:highlight w:val="none"/>
        </w:rPr>
      </w:pPr>
      <w:bookmarkStart w:id="434" w:name="_Toc120614282"/>
      <w:bookmarkEnd w:id="434"/>
      <w:bookmarkStart w:id="435" w:name="_Toc49090576"/>
      <w:bookmarkEnd w:id="435"/>
      <w:bookmarkStart w:id="436" w:name="_Hlt26955039"/>
      <w:bookmarkStart w:id="437" w:name="_Hlt26671244"/>
      <w:bookmarkStart w:id="438" w:name="_Toc26554094"/>
      <w:r>
        <w:rPr>
          <w:rFonts w:hint="eastAsia" w:ascii="宋体" w:hAnsi="宋体" w:eastAsia="宋体" w:cs="宋体"/>
          <w:b/>
          <w:color w:val="auto"/>
          <w:sz w:val="72"/>
          <w:szCs w:val="72"/>
          <w:highlight w:val="none"/>
        </w:rPr>
        <w:t>投  标  文  件</w:t>
      </w:r>
    </w:p>
    <w:p w14:paraId="6AE1D73F">
      <w:pPr>
        <w:pStyle w:val="30"/>
        <w:tabs>
          <w:tab w:val="left" w:pos="9240"/>
        </w:tabs>
        <w:spacing w:beforeAutospacing="0" w:afterAutospacing="0"/>
        <w:ind w:right="176" w:rightChars="84"/>
        <w:jc w:val="center"/>
        <w:rPr>
          <w:color w:val="auto"/>
          <w:highlight w:val="none"/>
        </w:rPr>
      </w:pPr>
      <w:r>
        <w:rPr>
          <w:color w:val="auto"/>
          <w:highlight w:val="none"/>
        </w:rPr>
        <w:t> </w:t>
      </w:r>
    </w:p>
    <w:p w14:paraId="60FDBA97">
      <w:pPr>
        <w:pStyle w:val="30"/>
        <w:tabs>
          <w:tab w:val="left" w:pos="9240"/>
        </w:tabs>
        <w:spacing w:beforeAutospacing="0" w:afterAutospacing="0"/>
        <w:ind w:right="176" w:rightChars="84"/>
        <w:jc w:val="center"/>
        <w:rPr>
          <w:color w:val="auto"/>
          <w:highlight w:val="none"/>
        </w:rPr>
      </w:pPr>
      <w:r>
        <w:rPr>
          <w:color w:val="auto"/>
          <w:highlight w:val="none"/>
        </w:rPr>
        <w:t> </w:t>
      </w:r>
    </w:p>
    <w:p w14:paraId="7FDD1866">
      <w:pPr>
        <w:pStyle w:val="30"/>
        <w:tabs>
          <w:tab w:val="left" w:pos="9240"/>
        </w:tabs>
        <w:spacing w:beforeAutospacing="0" w:afterAutospacing="0"/>
        <w:ind w:right="176" w:rightChars="84"/>
        <w:jc w:val="center"/>
        <w:rPr>
          <w:color w:val="auto"/>
          <w:highlight w:val="none"/>
        </w:rPr>
      </w:pPr>
      <w:r>
        <w:rPr>
          <w:color w:val="auto"/>
          <w:highlight w:val="none"/>
        </w:rPr>
        <w:t> </w:t>
      </w:r>
    </w:p>
    <w:p w14:paraId="4C744CDB">
      <w:pPr>
        <w:pStyle w:val="30"/>
        <w:tabs>
          <w:tab w:val="left" w:pos="9240"/>
        </w:tabs>
        <w:spacing w:beforeAutospacing="0" w:afterAutospacing="0"/>
        <w:ind w:right="176" w:rightChars="84"/>
        <w:jc w:val="center"/>
        <w:rPr>
          <w:color w:val="auto"/>
          <w:highlight w:val="none"/>
        </w:rPr>
      </w:pPr>
    </w:p>
    <w:p w14:paraId="6D64EE9E">
      <w:pPr>
        <w:pStyle w:val="30"/>
        <w:tabs>
          <w:tab w:val="left" w:pos="9240"/>
        </w:tabs>
        <w:spacing w:beforeAutospacing="0" w:afterAutospacing="0"/>
        <w:ind w:right="176" w:rightChars="84"/>
        <w:jc w:val="center"/>
        <w:rPr>
          <w:color w:val="auto"/>
          <w:highlight w:val="none"/>
        </w:rPr>
      </w:pPr>
    </w:p>
    <w:p w14:paraId="441ACBC2">
      <w:pPr>
        <w:pStyle w:val="30"/>
        <w:tabs>
          <w:tab w:val="left" w:pos="9240"/>
        </w:tabs>
        <w:spacing w:beforeAutospacing="0" w:afterAutospacing="0"/>
        <w:ind w:right="176" w:rightChars="84"/>
        <w:jc w:val="center"/>
        <w:rPr>
          <w:color w:val="auto"/>
          <w:highlight w:val="none"/>
        </w:rPr>
      </w:pPr>
    </w:p>
    <w:p w14:paraId="0F2E2A1D">
      <w:pPr>
        <w:pStyle w:val="30"/>
        <w:tabs>
          <w:tab w:val="left" w:pos="9240"/>
        </w:tabs>
        <w:spacing w:beforeAutospacing="0" w:afterAutospacing="0"/>
        <w:ind w:right="176" w:rightChars="84"/>
        <w:jc w:val="center"/>
        <w:rPr>
          <w:color w:val="auto"/>
          <w:highlight w:val="none"/>
        </w:rPr>
      </w:pPr>
    </w:p>
    <w:p w14:paraId="5FB47A4B">
      <w:pPr>
        <w:pStyle w:val="30"/>
        <w:tabs>
          <w:tab w:val="left" w:pos="9240"/>
        </w:tabs>
        <w:spacing w:beforeAutospacing="0" w:afterAutospacing="0"/>
        <w:ind w:right="176" w:rightChars="84"/>
        <w:jc w:val="center"/>
        <w:rPr>
          <w:color w:val="auto"/>
          <w:highlight w:val="none"/>
        </w:rPr>
      </w:pPr>
    </w:p>
    <w:p w14:paraId="139E159B">
      <w:pPr>
        <w:pStyle w:val="30"/>
        <w:tabs>
          <w:tab w:val="left" w:pos="9240"/>
        </w:tabs>
        <w:spacing w:beforeAutospacing="0" w:afterAutospacing="0"/>
        <w:ind w:right="176" w:rightChars="84"/>
        <w:jc w:val="center"/>
        <w:rPr>
          <w:color w:val="auto"/>
          <w:highlight w:val="none"/>
        </w:rPr>
      </w:pPr>
    </w:p>
    <w:p w14:paraId="357FB492">
      <w:pPr>
        <w:pStyle w:val="30"/>
        <w:tabs>
          <w:tab w:val="left" w:pos="9240"/>
        </w:tabs>
        <w:spacing w:beforeAutospacing="0" w:afterAutospacing="0"/>
        <w:ind w:right="176" w:rightChars="84"/>
        <w:jc w:val="center"/>
        <w:rPr>
          <w:color w:val="auto"/>
          <w:highlight w:val="none"/>
        </w:rPr>
      </w:pPr>
    </w:p>
    <w:p w14:paraId="7679B7D9">
      <w:pPr>
        <w:pStyle w:val="30"/>
        <w:tabs>
          <w:tab w:val="left" w:pos="9240"/>
        </w:tabs>
        <w:spacing w:beforeAutospacing="0" w:afterAutospacing="0"/>
        <w:ind w:right="176" w:rightChars="84"/>
        <w:jc w:val="center"/>
        <w:rPr>
          <w:color w:val="auto"/>
          <w:highlight w:val="none"/>
        </w:rPr>
      </w:pPr>
    </w:p>
    <w:p w14:paraId="2B93D084">
      <w:pPr>
        <w:pStyle w:val="30"/>
        <w:tabs>
          <w:tab w:val="left" w:pos="9240"/>
        </w:tabs>
        <w:spacing w:beforeAutospacing="0" w:afterAutospacing="0"/>
        <w:ind w:right="176" w:rightChars="84"/>
        <w:jc w:val="center"/>
        <w:rPr>
          <w:color w:val="auto"/>
          <w:highlight w:val="none"/>
        </w:rPr>
      </w:pPr>
      <w:r>
        <w:rPr>
          <w:color w:val="auto"/>
          <w:highlight w:val="none"/>
        </w:rPr>
        <w:t> </w:t>
      </w:r>
    </w:p>
    <w:p w14:paraId="607320FE">
      <w:pPr>
        <w:pStyle w:val="30"/>
        <w:tabs>
          <w:tab w:val="left" w:pos="9240"/>
        </w:tabs>
        <w:spacing w:beforeAutospacing="0" w:afterAutospacing="0"/>
        <w:ind w:right="176" w:rightChars="84"/>
        <w:jc w:val="center"/>
        <w:rPr>
          <w:color w:val="auto"/>
          <w:highlight w:val="none"/>
        </w:rPr>
      </w:pPr>
      <w:r>
        <w:rPr>
          <w:color w:val="auto"/>
          <w:highlight w:val="none"/>
        </w:rPr>
        <w:t> </w:t>
      </w:r>
    </w:p>
    <w:p w14:paraId="1FEF069A">
      <w:pPr>
        <w:pStyle w:val="30"/>
        <w:tabs>
          <w:tab w:val="left" w:pos="9240"/>
        </w:tabs>
        <w:spacing w:beforeAutospacing="0" w:afterAutospacing="0"/>
        <w:ind w:right="176" w:rightChars="84" w:firstLine="723"/>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36B83136">
      <w:pPr>
        <w:pStyle w:val="30"/>
        <w:tabs>
          <w:tab w:val="left" w:pos="9240"/>
        </w:tabs>
        <w:spacing w:beforeAutospacing="0" w:afterAutospacing="0"/>
        <w:ind w:right="176" w:rightChars="84" w:firstLine="723"/>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084D4334">
      <w:pPr>
        <w:pStyle w:val="30"/>
        <w:tabs>
          <w:tab w:val="left" w:pos="9240"/>
        </w:tabs>
        <w:spacing w:beforeAutospacing="0" w:afterAutospacing="0"/>
        <w:ind w:right="176" w:rightChars="84" w:firstLine="723"/>
        <w:jc w:val="both"/>
        <w:rPr>
          <w:color w:val="auto"/>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（加盖CA电子公章）</w:t>
      </w:r>
    </w:p>
    <w:p w14:paraId="0E2D0C0B">
      <w:pPr>
        <w:pStyle w:val="30"/>
        <w:tabs>
          <w:tab w:val="left" w:pos="9240"/>
        </w:tabs>
        <w:spacing w:beforeAutospacing="0" w:afterAutospacing="0"/>
        <w:ind w:right="176" w:rightChars="84" w:firstLine="723"/>
        <w:jc w:val="both"/>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5CBCC726">
      <w:pPr>
        <w:pStyle w:val="30"/>
        <w:tabs>
          <w:tab w:val="left" w:pos="9240"/>
        </w:tabs>
        <w:spacing w:beforeAutospacing="0" w:afterAutospacing="0" w:line="0" w:lineRule="atLeast"/>
        <w:ind w:right="176" w:rightChars="84" w:firstLine="480"/>
        <w:jc w:val="center"/>
        <w:rPr>
          <w:color w:val="auto"/>
          <w:highlight w:val="none"/>
        </w:rPr>
      </w:pPr>
    </w:p>
    <w:p w14:paraId="7798FB0C">
      <w:pPr>
        <w:pStyle w:val="30"/>
        <w:tabs>
          <w:tab w:val="left" w:pos="9240"/>
        </w:tabs>
        <w:spacing w:beforeAutospacing="0" w:afterAutospacing="0" w:line="0" w:lineRule="atLeast"/>
        <w:ind w:right="176" w:rightChars="84" w:firstLine="480"/>
        <w:jc w:val="center"/>
        <w:rPr>
          <w:color w:val="auto"/>
          <w:highlight w:val="none"/>
        </w:rPr>
      </w:pPr>
    </w:p>
    <w:p w14:paraId="7A0E3876">
      <w:pPr>
        <w:pStyle w:val="30"/>
        <w:tabs>
          <w:tab w:val="left" w:pos="9240"/>
        </w:tabs>
        <w:spacing w:beforeAutospacing="0" w:afterAutospacing="0" w:line="0" w:lineRule="atLeast"/>
        <w:ind w:right="176" w:rightChars="84" w:firstLine="480"/>
        <w:jc w:val="center"/>
        <w:rPr>
          <w:color w:val="auto"/>
          <w:highlight w:val="none"/>
        </w:rPr>
      </w:pPr>
    </w:p>
    <w:p w14:paraId="1B1F9A84">
      <w:pPr>
        <w:pStyle w:val="30"/>
        <w:tabs>
          <w:tab w:val="left" w:pos="9240"/>
        </w:tabs>
        <w:spacing w:beforeAutospacing="0" w:afterAutospacing="0" w:line="0" w:lineRule="atLeast"/>
        <w:ind w:right="176" w:rightChars="84" w:firstLine="480"/>
        <w:jc w:val="center"/>
        <w:rPr>
          <w:color w:val="auto"/>
          <w:highlight w:val="none"/>
        </w:rPr>
      </w:pPr>
    </w:p>
    <w:p w14:paraId="7AFE0B5D">
      <w:pPr>
        <w:pStyle w:val="30"/>
        <w:tabs>
          <w:tab w:val="left" w:pos="9240"/>
        </w:tabs>
        <w:spacing w:beforeAutospacing="0" w:afterAutospacing="0" w:line="0" w:lineRule="atLeast"/>
        <w:ind w:right="176" w:rightChars="84" w:firstLine="480"/>
        <w:jc w:val="center"/>
        <w:rPr>
          <w:color w:val="auto"/>
          <w:highlight w:val="none"/>
        </w:rPr>
      </w:pPr>
    </w:p>
    <w:p w14:paraId="39DD2099">
      <w:pPr>
        <w:pStyle w:val="30"/>
        <w:tabs>
          <w:tab w:val="left" w:pos="9240"/>
        </w:tabs>
        <w:spacing w:beforeAutospacing="0" w:afterAutospacing="0" w:line="0" w:lineRule="atLeast"/>
        <w:ind w:right="176" w:rightChars="84" w:firstLine="480"/>
        <w:jc w:val="center"/>
        <w:rPr>
          <w:color w:val="auto"/>
          <w:highlight w:val="none"/>
        </w:rPr>
      </w:pPr>
    </w:p>
    <w:p w14:paraId="549F5B83">
      <w:pPr>
        <w:pStyle w:val="30"/>
        <w:tabs>
          <w:tab w:val="left" w:pos="9240"/>
        </w:tabs>
        <w:spacing w:beforeAutospacing="0" w:afterAutospacing="0" w:line="0" w:lineRule="atLeast"/>
        <w:ind w:right="176" w:rightChars="84" w:firstLine="480"/>
        <w:jc w:val="center"/>
        <w:rPr>
          <w:color w:val="auto"/>
          <w:highlight w:val="none"/>
        </w:rPr>
      </w:pPr>
    </w:p>
    <w:p w14:paraId="2FEB4487">
      <w:pPr>
        <w:pStyle w:val="30"/>
        <w:tabs>
          <w:tab w:val="left" w:pos="9240"/>
        </w:tabs>
        <w:spacing w:beforeAutospacing="0" w:afterAutospacing="0" w:line="0" w:lineRule="atLeast"/>
        <w:ind w:right="176" w:rightChars="84" w:firstLine="480"/>
        <w:jc w:val="center"/>
        <w:rPr>
          <w:color w:val="auto"/>
          <w:highlight w:val="none"/>
        </w:rPr>
      </w:pPr>
    </w:p>
    <w:p w14:paraId="7E087DC9">
      <w:pPr>
        <w:pStyle w:val="30"/>
        <w:tabs>
          <w:tab w:val="left" w:pos="9240"/>
        </w:tabs>
        <w:spacing w:beforeAutospacing="0" w:afterAutospacing="0" w:line="0" w:lineRule="atLeast"/>
        <w:ind w:right="176" w:rightChars="84" w:firstLine="480"/>
        <w:jc w:val="center"/>
        <w:rPr>
          <w:color w:val="auto"/>
          <w:highlight w:val="none"/>
        </w:rPr>
      </w:pPr>
    </w:p>
    <w:p w14:paraId="18D7CC22">
      <w:pPr>
        <w:pStyle w:val="30"/>
        <w:tabs>
          <w:tab w:val="left" w:pos="9240"/>
        </w:tabs>
        <w:spacing w:beforeAutospacing="0" w:afterAutospacing="0" w:line="0" w:lineRule="atLeast"/>
        <w:ind w:right="176" w:rightChars="84" w:firstLine="480"/>
        <w:jc w:val="center"/>
        <w:rPr>
          <w:color w:val="auto"/>
          <w:highlight w:val="none"/>
        </w:rPr>
      </w:pPr>
    </w:p>
    <w:p w14:paraId="2DD29024">
      <w:pPr>
        <w:pStyle w:val="30"/>
        <w:tabs>
          <w:tab w:val="left" w:pos="9240"/>
        </w:tabs>
        <w:spacing w:beforeAutospacing="0" w:afterAutospacing="0" w:line="0" w:lineRule="atLeast"/>
        <w:ind w:right="176" w:rightChars="84" w:firstLine="480"/>
        <w:jc w:val="center"/>
        <w:rPr>
          <w:color w:val="auto"/>
          <w:highlight w:val="none"/>
        </w:rPr>
      </w:pPr>
    </w:p>
    <w:p w14:paraId="74C6DFC5">
      <w:pPr>
        <w:pStyle w:val="30"/>
        <w:tabs>
          <w:tab w:val="left" w:pos="9240"/>
        </w:tabs>
        <w:spacing w:beforeAutospacing="0" w:afterAutospacing="0" w:line="0" w:lineRule="atLeast"/>
        <w:ind w:right="176" w:rightChars="84" w:firstLine="480"/>
        <w:jc w:val="center"/>
        <w:rPr>
          <w:color w:val="auto"/>
          <w:highlight w:val="none"/>
        </w:rPr>
      </w:pPr>
    </w:p>
    <w:p w14:paraId="19D6FB0A">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580BE689">
      <w:pPr>
        <w:pStyle w:val="30"/>
        <w:tabs>
          <w:tab w:val="left" w:pos="9240"/>
        </w:tabs>
        <w:spacing w:beforeAutospacing="0" w:afterAutospacing="0" w:line="0" w:lineRule="atLeast"/>
        <w:ind w:right="176" w:rightChars="84" w:firstLine="643"/>
        <w:jc w:val="center"/>
        <w:rPr>
          <w:color w:val="auto"/>
          <w:highlight w:val="none"/>
        </w:rPr>
      </w:pPr>
      <w:r>
        <w:rPr>
          <w:rFonts w:hint="eastAsia" w:ascii="宋体" w:hAnsi="宋体" w:eastAsia="宋体" w:cs="宋体"/>
          <w:b/>
          <w:color w:val="auto"/>
          <w:sz w:val="32"/>
          <w:szCs w:val="32"/>
          <w:highlight w:val="none"/>
        </w:rPr>
        <w:t>投标文件目录</w:t>
      </w:r>
    </w:p>
    <w:p w14:paraId="0644F902">
      <w:pPr>
        <w:pStyle w:val="30"/>
        <w:tabs>
          <w:tab w:val="left" w:pos="9240"/>
        </w:tabs>
        <w:spacing w:beforeAutospacing="0" w:afterAutospacing="0" w:line="0" w:lineRule="atLeast"/>
        <w:ind w:right="176" w:rightChars="84" w:firstLine="480"/>
        <w:jc w:val="center"/>
        <w:rPr>
          <w:color w:val="auto"/>
          <w:highlight w:val="none"/>
        </w:rPr>
      </w:pPr>
      <w:r>
        <w:rPr>
          <w:color w:val="auto"/>
          <w:highlight w:val="none"/>
        </w:rPr>
        <w:t> </w:t>
      </w:r>
    </w:p>
    <w:p w14:paraId="154B1B63">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一、法人或者其他组织的营业执照等证明文件</w:t>
      </w:r>
      <w:r>
        <w:rPr>
          <w:iCs/>
          <w:color w:val="auto"/>
          <w:highlight w:val="none"/>
        </w:rPr>
        <w:t xml:space="preserve"> </w:t>
      </w:r>
    </w:p>
    <w:p w14:paraId="30E420E3">
      <w:pPr>
        <w:tabs>
          <w:tab w:val="left" w:pos="1331"/>
          <w:tab w:val="left" w:pos="9240"/>
        </w:tabs>
        <w:spacing w:line="480" w:lineRule="exact"/>
        <w:ind w:right="176" w:rightChars="84" w:firstLine="480"/>
        <w:jc w:val="left"/>
        <w:rPr>
          <w:iCs/>
          <w:color w:val="auto"/>
          <w:highlight w:val="none"/>
        </w:rPr>
      </w:pPr>
      <w:r>
        <w:rPr>
          <w:rFonts w:hint="eastAsia" w:ascii="宋体" w:hAnsi="宋体" w:eastAsia="宋体" w:cs="宋体"/>
          <w:iCs/>
          <w:color w:val="auto"/>
          <w:sz w:val="24"/>
          <w:highlight w:val="none"/>
        </w:rPr>
        <w:t>二、上一年度的财务状况报告（投标人成立不满一年无需提供</w:t>
      </w:r>
      <w:r>
        <w:rPr>
          <w:rFonts w:hint="eastAsia" w:ascii="宋体" w:hAnsi="宋体" w:eastAsia="宋体" w:cs="宋体"/>
          <w:iCs/>
          <w:color w:val="auto"/>
          <w:highlight w:val="none"/>
        </w:rPr>
        <w:t>）</w:t>
      </w:r>
    </w:p>
    <w:p w14:paraId="03BED6BE">
      <w:pPr>
        <w:pStyle w:val="30"/>
        <w:tabs>
          <w:tab w:val="left" w:pos="9240"/>
        </w:tabs>
        <w:spacing w:beforeAutospacing="0" w:afterAutospacing="0" w:line="480" w:lineRule="exact"/>
        <w:ind w:right="176" w:rightChars="84" w:firstLine="480"/>
        <w:jc w:val="both"/>
        <w:rPr>
          <w:rFonts w:ascii="宋体" w:hAnsi="宋体" w:eastAsia="宋体" w:cs="宋体"/>
          <w:iCs/>
          <w:color w:val="auto"/>
          <w:highlight w:val="none"/>
        </w:rPr>
      </w:pPr>
      <w:r>
        <w:rPr>
          <w:rFonts w:hint="eastAsia" w:ascii="宋体" w:hAnsi="宋体" w:eastAsia="宋体" w:cs="宋体"/>
          <w:iCs/>
          <w:color w:val="auto"/>
          <w:highlight w:val="none"/>
        </w:rPr>
        <w:t>三、具备履行合同所必需的设备和专业技术能力的书面声明</w:t>
      </w:r>
    </w:p>
    <w:p w14:paraId="7B1790A1">
      <w:pPr>
        <w:pStyle w:val="30"/>
        <w:tabs>
          <w:tab w:val="left" w:pos="9240"/>
        </w:tabs>
        <w:spacing w:beforeAutospacing="0" w:afterAutospacing="0" w:line="480" w:lineRule="exact"/>
        <w:ind w:right="176" w:rightChars="84" w:firstLine="480"/>
        <w:jc w:val="both"/>
        <w:rPr>
          <w:rFonts w:ascii="宋体" w:hAnsi="宋体" w:eastAsia="宋体" w:cs="宋体"/>
          <w:iCs/>
          <w:color w:val="auto"/>
          <w:highlight w:val="none"/>
        </w:rPr>
      </w:pPr>
      <w:r>
        <w:rPr>
          <w:rFonts w:hint="eastAsia" w:ascii="宋体" w:hAnsi="宋体" w:eastAsia="宋体" w:cs="宋体"/>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422117B">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五、参加政府采购活动前 3 年内在经营活动中没有重大违法记录的书面声明</w:t>
      </w:r>
    </w:p>
    <w:p w14:paraId="3FDF49E0">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六、特定资格要求的证明文件（如果本项目设置特定资格要求，则需要提供）</w:t>
      </w:r>
    </w:p>
    <w:p w14:paraId="5B76A5B6">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七、法人授权书</w:t>
      </w:r>
    </w:p>
    <w:p w14:paraId="1BF3ACEA">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八、投标函</w:t>
      </w:r>
    </w:p>
    <w:p w14:paraId="313C822E">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九、中小企业声明函</w:t>
      </w:r>
    </w:p>
    <w:p w14:paraId="353BAB6B">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十、残疾人福利性单位声明函</w:t>
      </w:r>
    </w:p>
    <w:p w14:paraId="1A6BE51E">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十一、联合体协议</w:t>
      </w:r>
    </w:p>
    <w:p w14:paraId="7B1EED56">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十二、投标分项报价表</w:t>
      </w:r>
    </w:p>
    <w:p w14:paraId="5AF3C951">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十三、技术要求响应及偏离表</w:t>
      </w:r>
    </w:p>
    <w:p w14:paraId="692CB454">
      <w:pPr>
        <w:pStyle w:val="30"/>
        <w:tabs>
          <w:tab w:val="left" w:pos="9240"/>
        </w:tabs>
        <w:spacing w:beforeAutospacing="0" w:afterAutospacing="0" w:line="480" w:lineRule="exact"/>
        <w:ind w:right="176" w:rightChars="84" w:firstLine="480"/>
        <w:jc w:val="both"/>
        <w:rPr>
          <w:iCs/>
          <w:color w:val="auto"/>
          <w:highlight w:val="none"/>
        </w:rPr>
      </w:pPr>
      <w:r>
        <w:rPr>
          <w:rFonts w:hint="eastAsia" w:ascii="宋体" w:hAnsi="宋体" w:eastAsia="宋体" w:cs="宋体"/>
          <w:iCs/>
          <w:color w:val="auto"/>
          <w:highlight w:val="none"/>
        </w:rPr>
        <w:t>十四、商务要求响应及偏离表</w:t>
      </w:r>
    </w:p>
    <w:p w14:paraId="049162CA">
      <w:pPr>
        <w:pStyle w:val="30"/>
        <w:tabs>
          <w:tab w:val="left" w:pos="9240"/>
        </w:tabs>
        <w:spacing w:beforeAutospacing="0" w:afterAutospacing="0" w:line="480" w:lineRule="exact"/>
        <w:ind w:right="176" w:rightChars="84" w:firstLine="480"/>
        <w:jc w:val="both"/>
        <w:rPr>
          <w:rFonts w:ascii="宋体" w:hAnsi="宋体" w:eastAsia="宋体" w:cs="宋体"/>
          <w:iCs/>
          <w:color w:val="auto"/>
          <w:highlight w:val="none"/>
        </w:rPr>
      </w:pPr>
      <w:r>
        <w:rPr>
          <w:rFonts w:hint="eastAsia" w:ascii="宋体" w:hAnsi="宋体" w:eastAsia="宋体" w:cs="宋体"/>
          <w:iCs/>
          <w:color w:val="auto"/>
          <w:highlight w:val="none"/>
        </w:rPr>
        <w:t>十五、开标一览表</w:t>
      </w:r>
    </w:p>
    <w:p w14:paraId="19C9A123">
      <w:pPr>
        <w:widowControl/>
        <w:tabs>
          <w:tab w:val="left" w:pos="9240"/>
        </w:tabs>
        <w:spacing w:line="480" w:lineRule="exact"/>
        <w:ind w:right="176" w:rightChars="84" w:firstLine="480"/>
        <w:rPr>
          <w:rFonts w:ascii="宋体" w:hAnsi="宋体" w:eastAsia="宋体" w:cs="宋体"/>
          <w:iCs/>
          <w:color w:val="auto"/>
          <w:sz w:val="24"/>
          <w:highlight w:val="none"/>
        </w:rPr>
      </w:pPr>
      <w:r>
        <w:rPr>
          <w:rFonts w:hint="eastAsia" w:ascii="宋体" w:hAnsi="宋体" w:eastAsia="宋体" w:cs="宋体"/>
          <w:iCs/>
          <w:color w:val="auto"/>
          <w:sz w:val="24"/>
          <w:highlight w:val="none"/>
        </w:rPr>
        <w:t>十六、技术方案、服务承诺、培训承诺等</w:t>
      </w:r>
    </w:p>
    <w:p w14:paraId="46A5ADC1">
      <w:pPr>
        <w:pStyle w:val="30"/>
        <w:tabs>
          <w:tab w:val="left" w:pos="9240"/>
        </w:tabs>
        <w:spacing w:beforeAutospacing="0" w:afterAutospacing="0" w:line="480" w:lineRule="exact"/>
        <w:ind w:right="176" w:rightChars="84" w:firstLine="480"/>
        <w:jc w:val="both"/>
        <w:rPr>
          <w:rFonts w:ascii="宋体" w:hAnsi="宋体" w:eastAsia="宋体" w:cs="宋体"/>
          <w:iCs/>
          <w:color w:val="auto"/>
          <w:highlight w:val="none"/>
        </w:rPr>
      </w:pPr>
      <w:r>
        <w:rPr>
          <w:rFonts w:hint="eastAsia" w:ascii="宋体" w:hAnsi="宋体" w:eastAsia="宋体" w:cs="宋体"/>
          <w:iCs/>
          <w:color w:val="auto"/>
          <w:highlight w:val="none"/>
        </w:rPr>
        <w:t>十七、</w:t>
      </w:r>
      <w:r>
        <w:rPr>
          <w:rFonts w:hint="eastAsia" w:ascii="宋体" w:hAnsi="宋体" w:eastAsia="宋体" w:cs="宋体"/>
          <w:iCs/>
          <w:color w:val="auto"/>
          <w:highlight w:val="none"/>
          <w:lang w:eastAsia="zh-CN"/>
        </w:rPr>
        <w:t>盐城市大丰区政府采购事前信用承诺书</w:t>
      </w:r>
    </w:p>
    <w:p w14:paraId="76E2B00B">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7DE9D3D3">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457BBDED">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30AAE1E4">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6F3F1547">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4985E77C">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56059401">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5BF14107">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449582C9">
      <w:pPr>
        <w:pStyle w:val="30"/>
        <w:tabs>
          <w:tab w:val="left" w:pos="9240"/>
        </w:tabs>
        <w:spacing w:beforeAutospacing="0" w:afterAutospacing="0" w:line="0" w:lineRule="atLeast"/>
        <w:ind w:right="176" w:rightChars="84" w:firstLine="480"/>
        <w:jc w:val="both"/>
        <w:rPr>
          <w:color w:val="auto"/>
          <w:highlight w:val="none"/>
        </w:rPr>
      </w:pPr>
    </w:p>
    <w:p w14:paraId="6B6AC003">
      <w:pPr>
        <w:pStyle w:val="30"/>
        <w:tabs>
          <w:tab w:val="left" w:pos="9240"/>
        </w:tabs>
        <w:spacing w:beforeAutospacing="0" w:afterAutospacing="0" w:line="0" w:lineRule="atLeast"/>
        <w:ind w:right="176" w:rightChars="84" w:firstLine="480"/>
        <w:jc w:val="both"/>
        <w:rPr>
          <w:color w:val="auto"/>
          <w:highlight w:val="none"/>
        </w:rPr>
      </w:pPr>
    </w:p>
    <w:p w14:paraId="6B5147D1">
      <w:pPr>
        <w:pStyle w:val="30"/>
        <w:tabs>
          <w:tab w:val="left" w:pos="9240"/>
        </w:tabs>
        <w:spacing w:beforeAutospacing="0" w:afterAutospacing="0" w:line="0" w:lineRule="atLeast"/>
        <w:ind w:right="176" w:rightChars="84" w:firstLine="480"/>
        <w:jc w:val="both"/>
        <w:rPr>
          <w:color w:val="auto"/>
          <w:highlight w:val="none"/>
        </w:rPr>
      </w:pPr>
    </w:p>
    <w:p w14:paraId="1441A422">
      <w:pPr>
        <w:pStyle w:val="30"/>
        <w:tabs>
          <w:tab w:val="left" w:pos="9240"/>
        </w:tabs>
        <w:spacing w:beforeAutospacing="0" w:afterAutospacing="0" w:line="0" w:lineRule="atLeast"/>
        <w:ind w:right="176" w:rightChars="84" w:firstLine="480"/>
        <w:jc w:val="both"/>
        <w:rPr>
          <w:color w:val="auto"/>
          <w:highlight w:val="none"/>
        </w:rPr>
      </w:pPr>
    </w:p>
    <w:p w14:paraId="2380DEAE">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320DD165">
      <w:pPr>
        <w:pStyle w:val="30"/>
        <w:tabs>
          <w:tab w:val="left" w:pos="9240"/>
        </w:tabs>
        <w:spacing w:beforeAutospacing="0" w:afterAutospacing="0"/>
        <w:ind w:right="176" w:rightChars="84" w:firstLine="640"/>
        <w:jc w:val="both"/>
        <w:rPr>
          <w:color w:val="auto"/>
          <w:highlight w:val="none"/>
        </w:rPr>
      </w:pPr>
      <w:bookmarkStart w:id="439" w:name="OLE_LINK5"/>
      <w:bookmarkStart w:id="440" w:name="OLE_LINK6"/>
      <w:r>
        <w:rPr>
          <w:rFonts w:hint="eastAsia" w:ascii="黑体" w:hAnsi="宋体" w:eastAsia="黑体" w:cs="黑体"/>
          <w:i/>
          <w:color w:val="auto"/>
          <w:sz w:val="32"/>
          <w:szCs w:val="32"/>
          <w:highlight w:val="none"/>
          <w:u w:val="single"/>
        </w:rPr>
        <w:t>一、法人或者其他组织的营业执照等证明文件</w:t>
      </w:r>
      <w:r>
        <w:rPr>
          <w:color w:val="auto"/>
          <w:highlight w:val="none"/>
        </w:rPr>
        <w:t xml:space="preserve"> </w:t>
      </w:r>
    </w:p>
    <w:p w14:paraId="0CC2346D">
      <w:pPr>
        <w:pStyle w:val="30"/>
        <w:tabs>
          <w:tab w:val="left" w:pos="9240"/>
        </w:tabs>
        <w:spacing w:beforeAutospacing="0" w:afterAutospacing="0" w:line="0" w:lineRule="atLeast"/>
        <w:ind w:right="176" w:rightChars="84" w:firstLine="480"/>
        <w:jc w:val="both"/>
        <w:rPr>
          <w:color w:val="auto"/>
          <w:highlight w:val="none"/>
        </w:rPr>
      </w:pPr>
      <w:r>
        <w:rPr>
          <w:color w:val="auto"/>
          <w:highlight w:val="none"/>
        </w:rPr>
        <w:t> </w:t>
      </w:r>
    </w:p>
    <w:p w14:paraId="24D282D7">
      <w:pPr>
        <w:pStyle w:val="30"/>
        <w:tabs>
          <w:tab w:val="left" w:pos="9240"/>
        </w:tabs>
        <w:spacing w:beforeAutospacing="0" w:afterAutospacing="0"/>
        <w:ind w:right="176" w:rightChars="84" w:firstLine="64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二、上一年度的财务状况报告</w:t>
      </w:r>
    </w:p>
    <w:p w14:paraId="36091741">
      <w:pPr>
        <w:tabs>
          <w:tab w:val="left" w:pos="1331"/>
          <w:tab w:val="left" w:pos="9240"/>
        </w:tabs>
        <w:ind w:right="176" w:rightChars="84" w:firstLine="480"/>
        <w:rPr>
          <w:rFonts w:ascii="宋体" w:hAnsi="宋体" w:eastAsia="宋体" w:cs="宋体"/>
          <w:iCs/>
          <w:color w:val="auto"/>
          <w:sz w:val="24"/>
          <w:highlight w:val="none"/>
        </w:rPr>
      </w:pPr>
      <w:r>
        <w:rPr>
          <w:rFonts w:hint="eastAsia" w:ascii="宋体" w:hAnsi="宋体" w:eastAsia="宋体" w:cs="宋体"/>
          <w:iCs/>
          <w:color w:val="auto"/>
          <w:sz w:val="24"/>
          <w:highlight w:val="none"/>
        </w:rPr>
        <w:t>（投标人成立不满一年无需提供）</w:t>
      </w:r>
    </w:p>
    <w:p w14:paraId="392F11B2">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00081101">
      <w:pPr>
        <w:pStyle w:val="30"/>
        <w:tabs>
          <w:tab w:val="left" w:pos="9240"/>
        </w:tabs>
        <w:spacing w:beforeAutospacing="0" w:afterAutospacing="0"/>
        <w:ind w:right="176" w:rightChars="84" w:firstLine="64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53C11EE4">
      <w:pPr>
        <w:pStyle w:val="30"/>
        <w:tabs>
          <w:tab w:val="left" w:pos="9240"/>
        </w:tabs>
        <w:spacing w:beforeAutospacing="0" w:afterAutospacing="0" w:line="0" w:lineRule="atLeast"/>
        <w:ind w:right="176" w:rightChars="84" w:firstLine="480"/>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37288B0D">
      <w:pPr>
        <w:pStyle w:val="30"/>
        <w:tabs>
          <w:tab w:val="left" w:pos="9240"/>
        </w:tabs>
        <w:spacing w:beforeAutospacing="0" w:afterAutospacing="0" w:line="0" w:lineRule="atLeast"/>
        <w:ind w:right="176" w:rightChars="84" w:firstLine="480"/>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AE48EAB">
      <w:pPr>
        <w:pStyle w:val="30"/>
        <w:tabs>
          <w:tab w:val="left" w:pos="9240"/>
        </w:tabs>
        <w:spacing w:beforeAutospacing="0" w:afterAutospacing="0"/>
        <w:ind w:right="176" w:rightChars="84" w:firstLine="48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A29BA53">
      <w:pPr>
        <w:pStyle w:val="30"/>
        <w:tabs>
          <w:tab w:val="left" w:pos="9240"/>
        </w:tabs>
        <w:spacing w:beforeAutospacing="0" w:afterAutospacing="0"/>
        <w:ind w:right="176" w:rightChars="84" w:firstLine="64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4F133AC1">
      <w:pPr>
        <w:pStyle w:val="30"/>
        <w:tabs>
          <w:tab w:val="left" w:pos="9240"/>
        </w:tabs>
        <w:spacing w:beforeAutospacing="0" w:afterAutospacing="0"/>
        <w:ind w:right="176" w:rightChars="84" w:firstLine="480"/>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2E5BDEED">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2E265E1D">
      <w:pPr>
        <w:pStyle w:val="30"/>
        <w:tabs>
          <w:tab w:val="left" w:pos="9240"/>
        </w:tabs>
        <w:spacing w:beforeAutospacing="0" w:afterAutospacing="0"/>
        <w:ind w:right="176" w:rightChars="84" w:firstLine="64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bookmarkEnd w:id="439"/>
      <w:bookmarkEnd w:id="440"/>
    </w:p>
    <w:p w14:paraId="264B2F65">
      <w:pPr>
        <w:pStyle w:val="30"/>
        <w:tabs>
          <w:tab w:val="left" w:pos="9240"/>
        </w:tabs>
        <w:spacing w:beforeAutospacing="0" w:afterAutospacing="0" w:line="0" w:lineRule="atLeast"/>
        <w:ind w:right="176" w:rightChars="84" w:firstLine="883"/>
        <w:jc w:val="both"/>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w:t>
      </w:r>
    </w:p>
    <w:p w14:paraId="47590DE5">
      <w:pPr>
        <w:pStyle w:val="30"/>
        <w:tabs>
          <w:tab w:val="left" w:pos="9240"/>
        </w:tabs>
        <w:spacing w:beforeAutospacing="0" w:afterAutospacing="0" w:line="0" w:lineRule="atLeast"/>
        <w:ind w:right="176" w:rightChars="84" w:firstLine="3092"/>
        <w:jc w:val="both"/>
        <w:rPr>
          <w:color w:val="auto"/>
          <w:highlight w:val="none"/>
        </w:rPr>
      </w:pPr>
      <w:r>
        <w:rPr>
          <w:rFonts w:hint="eastAsia" w:ascii="宋体" w:hAnsi="宋体" w:eastAsia="宋体" w:cs="宋体"/>
          <w:b/>
          <w:color w:val="auto"/>
          <w:sz w:val="44"/>
          <w:szCs w:val="44"/>
          <w:highlight w:val="none"/>
        </w:rPr>
        <w:t xml:space="preserve"> 声  明</w:t>
      </w:r>
    </w:p>
    <w:p w14:paraId="49913908">
      <w:pPr>
        <w:pStyle w:val="30"/>
        <w:tabs>
          <w:tab w:val="left" w:pos="9240"/>
        </w:tabs>
        <w:spacing w:beforeAutospacing="0" w:afterAutospacing="0" w:line="0" w:lineRule="atLeast"/>
        <w:ind w:right="176" w:rightChars="84" w:firstLine="480"/>
        <w:jc w:val="both"/>
        <w:rPr>
          <w:color w:val="auto"/>
          <w:highlight w:val="none"/>
        </w:rPr>
      </w:pP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14173981">
      <w:pPr>
        <w:pStyle w:val="30"/>
        <w:tabs>
          <w:tab w:val="left" w:pos="9240"/>
        </w:tabs>
        <w:spacing w:beforeAutospacing="0" w:afterAutospacing="0"/>
        <w:ind w:right="176" w:rightChars="84" w:firstLine="480"/>
        <w:jc w:val="both"/>
        <w:rPr>
          <w:color w:val="auto"/>
          <w:highlight w:val="none"/>
        </w:rPr>
      </w:pPr>
      <w:r>
        <w:rPr>
          <w:color w:val="auto"/>
          <w:highlight w:val="none"/>
        </w:rPr>
        <w:t> </w:t>
      </w:r>
    </w:p>
    <w:p w14:paraId="2CF5F240">
      <w:pPr>
        <w:pStyle w:val="30"/>
        <w:tabs>
          <w:tab w:val="left" w:pos="9240"/>
        </w:tabs>
        <w:spacing w:beforeAutospacing="0" w:afterAutospacing="0"/>
        <w:ind w:right="176" w:rightChars="84" w:firstLine="480"/>
        <w:jc w:val="both"/>
        <w:rPr>
          <w:color w:val="auto"/>
          <w:highlight w:val="none"/>
        </w:rPr>
      </w:pPr>
    </w:p>
    <w:p w14:paraId="34FC2C7E">
      <w:pPr>
        <w:pStyle w:val="30"/>
        <w:tabs>
          <w:tab w:val="left" w:pos="9240"/>
        </w:tabs>
        <w:spacing w:beforeAutospacing="0" w:afterAutospacing="0"/>
        <w:ind w:right="176" w:rightChars="84" w:firstLine="480"/>
        <w:jc w:val="both"/>
        <w:rPr>
          <w:color w:val="auto"/>
          <w:highlight w:val="none"/>
        </w:rPr>
      </w:pPr>
    </w:p>
    <w:p w14:paraId="0D040F66">
      <w:pPr>
        <w:pStyle w:val="30"/>
        <w:tabs>
          <w:tab w:val="left" w:pos="9240"/>
        </w:tabs>
        <w:spacing w:beforeAutospacing="0" w:afterAutospacing="0"/>
        <w:ind w:right="176" w:rightChars="84" w:firstLine="64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56A44E97">
      <w:pPr>
        <w:pStyle w:val="30"/>
        <w:tabs>
          <w:tab w:val="left" w:pos="9240"/>
        </w:tabs>
        <w:spacing w:beforeAutospacing="0" w:afterAutospacing="0"/>
        <w:ind w:right="176" w:rightChars="84" w:firstLine="480"/>
        <w:jc w:val="both"/>
        <w:rPr>
          <w:color w:val="auto"/>
          <w:highlight w:val="none"/>
        </w:rPr>
      </w:pPr>
      <w:r>
        <w:rPr>
          <w:rFonts w:hint="eastAsia" w:ascii="宋体" w:hAnsi="宋体" w:eastAsia="宋体" w:cs="宋体"/>
          <w:color w:val="auto"/>
          <w:highlight w:val="none"/>
        </w:rPr>
        <w:t>如果本项目申请人的特定资格要求中要求提供的，必须提供。</w:t>
      </w:r>
    </w:p>
    <w:p w14:paraId="01DACEB3">
      <w:pPr>
        <w:pStyle w:val="30"/>
        <w:tabs>
          <w:tab w:val="left" w:pos="9240"/>
        </w:tabs>
        <w:spacing w:beforeAutospacing="0" w:afterAutospacing="0"/>
        <w:ind w:right="176" w:rightChars="84" w:firstLine="640"/>
        <w:jc w:val="center"/>
        <w:rPr>
          <w:rFonts w:ascii="黑体" w:hAnsi="宋体" w:eastAsia="黑体" w:cs="黑体"/>
          <w:i/>
          <w:color w:val="auto"/>
          <w:sz w:val="32"/>
          <w:szCs w:val="32"/>
          <w:highlight w:val="none"/>
          <w:u w:val="single"/>
        </w:rPr>
      </w:pPr>
      <w:bookmarkStart w:id="441" w:name="_Toc120614284"/>
    </w:p>
    <w:p w14:paraId="60249635">
      <w:pPr>
        <w:pStyle w:val="30"/>
        <w:tabs>
          <w:tab w:val="left" w:pos="9240"/>
        </w:tabs>
        <w:spacing w:beforeAutospacing="0" w:afterAutospacing="0"/>
        <w:ind w:right="176" w:rightChars="84" w:firstLine="640"/>
        <w:jc w:val="center"/>
        <w:rPr>
          <w:rFonts w:ascii="黑体" w:hAnsi="宋体" w:eastAsia="黑体" w:cs="黑体"/>
          <w:i/>
          <w:color w:val="auto"/>
          <w:sz w:val="32"/>
          <w:szCs w:val="32"/>
          <w:highlight w:val="none"/>
          <w:u w:val="single"/>
        </w:rPr>
      </w:pPr>
    </w:p>
    <w:p w14:paraId="76FA1A4F">
      <w:pPr>
        <w:pStyle w:val="30"/>
        <w:tabs>
          <w:tab w:val="left" w:pos="9240"/>
        </w:tabs>
        <w:spacing w:beforeAutospacing="0" w:afterAutospacing="0"/>
        <w:ind w:right="176" w:rightChars="84" w:firstLine="640"/>
        <w:jc w:val="center"/>
        <w:rPr>
          <w:rFonts w:ascii="黑体" w:hAnsi="宋体" w:eastAsia="黑体" w:cs="黑体"/>
          <w:i/>
          <w:color w:val="auto"/>
          <w:sz w:val="32"/>
          <w:szCs w:val="32"/>
          <w:highlight w:val="none"/>
        </w:rPr>
      </w:pPr>
    </w:p>
    <w:p w14:paraId="41936F12">
      <w:pPr>
        <w:widowControl/>
        <w:tabs>
          <w:tab w:val="left" w:pos="9240"/>
        </w:tabs>
        <w:ind w:right="176" w:rightChars="84"/>
        <w:jc w:val="left"/>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p>
    <w:p w14:paraId="280BFB6B">
      <w:pPr>
        <w:pStyle w:val="30"/>
        <w:tabs>
          <w:tab w:val="left" w:pos="9240"/>
        </w:tabs>
        <w:spacing w:beforeAutospacing="0" w:afterAutospacing="0"/>
        <w:ind w:right="176" w:rightChars="84" w:firstLine="640"/>
        <w:jc w:val="center"/>
        <w:rPr>
          <w:rFonts w:ascii="黑体" w:hAnsi="宋体" w:eastAsia="黑体" w:cs="黑体"/>
          <w:i/>
          <w:color w:val="auto"/>
          <w:sz w:val="32"/>
          <w:szCs w:val="32"/>
          <w:highlight w:val="none"/>
          <w:u w:val="single"/>
        </w:rPr>
      </w:pPr>
    </w:p>
    <w:p w14:paraId="1D5B152B">
      <w:pPr>
        <w:pStyle w:val="30"/>
        <w:tabs>
          <w:tab w:val="left" w:pos="9240"/>
        </w:tabs>
        <w:spacing w:beforeAutospacing="0" w:afterAutospacing="0"/>
        <w:ind w:right="176" w:rightChars="84" w:firstLine="640"/>
        <w:jc w:val="center"/>
        <w:rPr>
          <w:color w:val="auto"/>
          <w:highlight w:val="none"/>
        </w:rPr>
      </w:pPr>
      <w:r>
        <w:rPr>
          <w:rFonts w:hint="eastAsia" w:ascii="黑体" w:hAnsi="宋体" w:eastAsia="黑体" w:cs="黑体"/>
          <w:i/>
          <w:color w:val="auto"/>
          <w:sz w:val="32"/>
          <w:szCs w:val="32"/>
          <w:highlight w:val="none"/>
          <w:u w:val="single"/>
        </w:rPr>
        <w:t>七、法人授权书</w:t>
      </w:r>
    </w:p>
    <w:p w14:paraId="183BE0EC">
      <w:pPr>
        <w:pStyle w:val="30"/>
        <w:tabs>
          <w:tab w:val="left" w:pos="360"/>
          <w:tab w:val="left" w:pos="9240"/>
        </w:tabs>
        <w:spacing w:beforeAutospacing="0" w:afterAutospacing="0"/>
        <w:ind w:right="176" w:rightChars="84"/>
        <w:jc w:val="both"/>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40D47292">
      <w:pPr>
        <w:pStyle w:val="30"/>
        <w:tabs>
          <w:tab w:val="left" w:pos="360"/>
          <w:tab w:val="left" w:pos="9240"/>
        </w:tabs>
        <w:spacing w:beforeAutospacing="0" w:afterAutospacing="0"/>
        <w:ind w:right="176" w:rightChars="84"/>
        <w:jc w:val="both"/>
        <w:rPr>
          <w:color w:val="auto"/>
          <w:highlight w:val="none"/>
        </w:rPr>
      </w:pPr>
      <w:r>
        <w:rPr>
          <w:rFonts w:ascii="Times New Roman" w:hAnsi="Times New Roman"/>
          <w:color w:val="auto"/>
          <w:highlight w:val="none"/>
        </w:rPr>
        <w:t>本授权书于______年____月____日起生效，特此声明。</w:t>
      </w:r>
    </w:p>
    <w:p w14:paraId="65CA4766">
      <w:pPr>
        <w:pStyle w:val="30"/>
        <w:tabs>
          <w:tab w:val="left" w:pos="360"/>
          <w:tab w:val="left" w:pos="9240"/>
        </w:tabs>
        <w:spacing w:beforeAutospacing="0" w:afterAutospacing="0"/>
        <w:ind w:right="176" w:rightChars="84"/>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0D6A4D06">
      <w:pPr>
        <w:pStyle w:val="30"/>
        <w:tabs>
          <w:tab w:val="left" w:pos="360"/>
          <w:tab w:val="left" w:pos="9240"/>
        </w:tabs>
        <w:spacing w:beforeAutospacing="0" w:afterAutospacing="0"/>
        <w:ind w:right="176" w:rightChars="84"/>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2D12958E">
      <w:pPr>
        <w:pStyle w:val="30"/>
        <w:tabs>
          <w:tab w:val="left" w:pos="360"/>
          <w:tab w:val="left" w:pos="9240"/>
        </w:tabs>
        <w:spacing w:beforeAutospacing="0" w:afterAutospacing="0"/>
        <w:ind w:right="176" w:rightChars="84"/>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6121385B">
      <w:pPr>
        <w:pStyle w:val="30"/>
        <w:tabs>
          <w:tab w:val="left" w:pos="360"/>
          <w:tab w:val="left" w:pos="9240"/>
        </w:tabs>
        <w:spacing w:beforeAutospacing="0" w:afterAutospacing="0"/>
        <w:ind w:right="176" w:rightChars="84"/>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45BB87B3">
      <w:pPr>
        <w:pStyle w:val="30"/>
        <w:tabs>
          <w:tab w:val="left" w:pos="360"/>
          <w:tab w:val="left" w:pos="9240"/>
        </w:tabs>
        <w:spacing w:beforeAutospacing="0" w:afterAutospacing="0"/>
        <w:ind w:right="176" w:rightChars="84"/>
        <w:jc w:val="both"/>
        <w:rPr>
          <w:color w:val="auto"/>
          <w:highlight w:val="none"/>
        </w:rPr>
      </w:pPr>
      <w:r>
        <w:rPr>
          <w:rFonts w:ascii="Times New Roman" w:hAnsi="Times New Roman"/>
          <w:color w:val="auto"/>
          <w:highlight w:val="none"/>
        </w:rPr>
        <w:t>     日期：</w:t>
      </w:r>
      <w:bookmarkStart w:id="442" w:name="_Hlt26671380"/>
      <w:bookmarkStart w:id="443" w:name="_格式3__银行出具的资信证明"/>
      <w:bookmarkStart w:id="444" w:name="_Hlt26955070"/>
      <w:r>
        <w:rPr>
          <w:rFonts w:ascii="Times New Roman" w:hAnsi="Times New Roman"/>
          <w:color w:val="auto"/>
          <w:highlight w:val="none"/>
          <w:u w:val="single"/>
        </w:rPr>
        <w:t xml:space="preserve">                                         </w:t>
      </w:r>
    </w:p>
    <w:p w14:paraId="47916332">
      <w:pPr>
        <w:pStyle w:val="30"/>
        <w:tabs>
          <w:tab w:val="left" w:pos="9240"/>
        </w:tabs>
        <w:spacing w:beforeAutospacing="0" w:afterAutospacing="0"/>
        <w:ind w:right="176" w:rightChars="84"/>
        <w:jc w:val="both"/>
        <w:rPr>
          <w:color w:val="auto"/>
          <w:highlight w:val="none"/>
        </w:rPr>
      </w:pPr>
      <w:r>
        <w:rPr>
          <w:color w:val="auto"/>
          <w:highlight w:val="none"/>
        </w:rPr>
        <w:t> </w:t>
      </w:r>
    </w:p>
    <w:p w14:paraId="71396291">
      <w:pPr>
        <w:pStyle w:val="30"/>
        <w:keepNext/>
        <w:keepLines/>
        <w:tabs>
          <w:tab w:val="left" w:pos="9240"/>
        </w:tabs>
        <w:spacing w:beforeAutospacing="0" w:afterAutospacing="0" w:line="415" w:lineRule="auto"/>
        <w:ind w:right="176" w:rightChars="84" w:firstLine="482"/>
        <w:jc w:val="center"/>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八、投标函</w:t>
      </w:r>
    </w:p>
    <w:p w14:paraId="45BE382C">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致：盐城市大丰区公共资源交易中心</w:t>
      </w:r>
    </w:p>
    <w:p w14:paraId="4D2CDE8D">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号招标文件，正式授权下述签字人_________________(姓名)代表我方______________（投标人的名称），全权处理本次项目投标的有关事宜。</w:t>
      </w:r>
    </w:p>
    <w:p w14:paraId="3738FD2C">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据此函，__________签字人兹宣布同意如下：</w:t>
      </w:r>
    </w:p>
    <w:p w14:paraId="248FE82F">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1.按招标文件规定的各项要求，向买方提供所需货物（包含与货物相关的服务）。</w:t>
      </w:r>
    </w:p>
    <w:p w14:paraId="141B3508">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249AF145">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6CBFA232">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4D92ACCF">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695426C5">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19903755">
      <w:pPr>
        <w:pStyle w:val="30"/>
        <w:tabs>
          <w:tab w:val="left" w:pos="9240"/>
        </w:tabs>
        <w:spacing w:beforeAutospacing="0" w:afterAutospacing="0" w:line="0" w:lineRule="atLeast"/>
        <w:ind w:right="176" w:rightChars="84" w:firstLine="480"/>
        <w:rPr>
          <w:color w:val="auto"/>
          <w:highlight w:val="none"/>
        </w:rPr>
      </w:pPr>
      <w:r>
        <w:rPr>
          <w:rFonts w:hint="eastAsia" w:ascii="宋体" w:hAnsi="宋体" w:eastAsia="宋体" w:cs="宋体"/>
          <w:color w:val="auto"/>
          <w:highlight w:val="none"/>
        </w:rPr>
        <w:t>7.与本投标有关的正式通讯地址为：</w:t>
      </w:r>
    </w:p>
    <w:p w14:paraId="393FF8FA">
      <w:pPr>
        <w:pStyle w:val="30"/>
        <w:tabs>
          <w:tab w:val="left" w:pos="9240"/>
        </w:tabs>
        <w:spacing w:beforeAutospacing="0" w:afterAutospacing="0" w:line="0" w:lineRule="atLeast"/>
        <w:ind w:right="176" w:rightChars="84"/>
        <w:rPr>
          <w:rFonts w:ascii="宋体" w:hAnsi="宋体" w:eastAsia="宋体" w:cs="宋体"/>
          <w:color w:val="auto"/>
          <w:highlight w:val="none"/>
        </w:rPr>
      </w:pPr>
    </w:p>
    <w:p w14:paraId="0C8857EA">
      <w:pPr>
        <w:pStyle w:val="30"/>
        <w:tabs>
          <w:tab w:val="left" w:pos="9240"/>
        </w:tabs>
        <w:spacing w:beforeAutospacing="0" w:afterAutospacing="0" w:line="0" w:lineRule="atLeast"/>
        <w:ind w:right="176" w:rightChars="84"/>
        <w:rPr>
          <w:rFonts w:ascii="宋体" w:hAnsi="宋体" w:eastAsia="宋体" w:cs="宋体"/>
          <w:color w:val="auto"/>
          <w:highlight w:val="none"/>
        </w:rPr>
      </w:pPr>
    </w:p>
    <w:p w14:paraId="3ACFB777">
      <w:pPr>
        <w:pStyle w:val="30"/>
        <w:tabs>
          <w:tab w:val="left" w:pos="9240"/>
        </w:tabs>
        <w:spacing w:beforeAutospacing="0" w:afterAutospacing="0" w:line="0" w:lineRule="atLeast"/>
        <w:ind w:right="176" w:rightChars="84"/>
        <w:rPr>
          <w:rFonts w:ascii="宋体" w:hAnsi="宋体" w:eastAsia="宋体" w:cs="宋体"/>
          <w:color w:val="auto"/>
          <w:highlight w:val="none"/>
        </w:rPr>
      </w:pPr>
    </w:p>
    <w:p w14:paraId="2097F57D">
      <w:pPr>
        <w:pStyle w:val="30"/>
        <w:tabs>
          <w:tab w:val="left" w:pos="9240"/>
        </w:tabs>
        <w:spacing w:beforeAutospacing="0" w:afterAutospacing="0" w:line="0" w:lineRule="atLeast"/>
        <w:ind w:right="176" w:rightChars="84"/>
        <w:rPr>
          <w:rFonts w:ascii="宋体" w:hAnsi="宋体" w:eastAsia="宋体" w:cs="宋体"/>
          <w:color w:val="auto"/>
          <w:highlight w:val="none"/>
        </w:rPr>
      </w:pPr>
    </w:p>
    <w:p w14:paraId="7AFB3F0F">
      <w:pPr>
        <w:pStyle w:val="30"/>
        <w:tabs>
          <w:tab w:val="left" w:pos="9240"/>
        </w:tabs>
        <w:spacing w:beforeAutospacing="0" w:afterAutospacing="0" w:line="0" w:lineRule="atLeast"/>
        <w:ind w:right="176" w:rightChars="84"/>
        <w:rPr>
          <w:rFonts w:ascii="宋体" w:hAnsi="宋体" w:eastAsia="宋体" w:cs="宋体"/>
          <w:color w:val="auto"/>
          <w:highlight w:val="none"/>
        </w:rPr>
      </w:pPr>
    </w:p>
    <w:p w14:paraId="5F1FF8B8">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地          址：</w:t>
      </w:r>
    </w:p>
    <w:p w14:paraId="76400857">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邮          编：</w:t>
      </w:r>
    </w:p>
    <w:p w14:paraId="737625D6">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电          话：</w:t>
      </w:r>
    </w:p>
    <w:p w14:paraId="6E51F44D">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传          真：</w:t>
      </w:r>
    </w:p>
    <w:p w14:paraId="74888DF5">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投标人开户行：</w:t>
      </w:r>
    </w:p>
    <w:p w14:paraId="282F9D97">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 xml:space="preserve">账          号： </w:t>
      </w:r>
    </w:p>
    <w:p w14:paraId="708A161B">
      <w:pPr>
        <w:pStyle w:val="30"/>
        <w:tabs>
          <w:tab w:val="left" w:pos="9240"/>
        </w:tabs>
        <w:spacing w:beforeAutospacing="0" w:afterAutospacing="0" w:line="0" w:lineRule="atLeast"/>
        <w:ind w:right="176" w:rightChars="84"/>
        <w:rPr>
          <w:color w:val="auto"/>
          <w:highlight w:val="none"/>
        </w:rPr>
      </w:pPr>
      <w:r>
        <w:rPr>
          <w:rFonts w:hint="eastAsia" w:ascii="宋体" w:hAnsi="宋体" w:eastAsia="宋体" w:cs="宋体"/>
          <w:color w:val="auto"/>
          <w:highlight w:val="none"/>
        </w:rPr>
        <w:t>日         </w:t>
      </w:r>
      <w:r>
        <w:rPr>
          <w:rFonts w:ascii="宋体" w:hAnsi="宋体" w:eastAsia="宋体" w:cs="宋体"/>
          <w:color w:val="auto"/>
          <w:highlight w:val="none"/>
        </w:rPr>
        <w:t xml:space="preserve"> </w:t>
      </w:r>
      <w:r>
        <w:rPr>
          <w:rFonts w:hint="eastAsia" w:ascii="宋体" w:hAnsi="宋体" w:eastAsia="宋体" w:cs="宋体"/>
          <w:color w:val="auto"/>
          <w:highlight w:val="none"/>
        </w:rPr>
        <w:t>期：________年____月____日</w:t>
      </w:r>
    </w:p>
    <w:p w14:paraId="29289980">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67A6EF44">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2051DE98">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701A0EDC">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79D037CC">
      <w:pPr>
        <w:pStyle w:val="30"/>
        <w:tabs>
          <w:tab w:val="left" w:pos="9240"/>
        </w:tabs>
        <w:spacing w:beforeAutospacing="0" w:afterAutospacing="0" w:line="0" w:lineRule="atLeast"/>
        <w:ind w:right="176" w:rightChars="84"/>
        <w:jc w:val="center"/>
        <w:rPr>
          <w:color w:val="auto"/>
          <w:highlight w:val="none"/>
        </w:rPr>
      </w:pPr>
    </w:p>
    <w:p w14:paraId="2F3E83AD">
      <w:pPr>
        <w:pStyle w:val="30"/>
        <w:tabs>
          <w:tab w:val="left" w:pos="9240"/>
        </w:tabs>
        <w:spacing w:beforeAutospacing="0" w:afterAutospacing="0" w:line="0" w:lineRule="atLeast"/>
        <w:ind w:right="176" w:rightChars="84"/>
        <w:jc w:val="center"/>
        <w:rPr>
          <w:color w:val="auto"/>
          <w:highlight w:val="none"/>
        </w:rPr>
      </w:pPr>
    </w:p>
    <w:p w14:paraId="27E6BEA5">
      <w:pPr>
        <w:pStyle w:val="30"/>
        <w:tabs>
          <w:tab w:val="left" w:pos="9240"/>
        </w:tabs>
        <w:spacing w:beforeAutospacing="0" w:afterAutospacing="0" w:line="0" w:lineRule="atLeast"/>
        <w:ind w:right="176" w:rightChars="84"/>
        <w:jc w:val="center"/>
        <w:rPr>
          <w:color w:val="auto"/>
          <w:highlight w:val="none"/>
        </w:rPr>
      </w:pPr>
    </w:p>
    <w:p w14:paraId="74CAB010">
      <w:pPr>
        <w:pStyle w:val="30"/>
        <w:tabs>
          <w:tab w:val="left" w:pos="9240"/>
        </w:tabs>
        <w:spacing w:beforeAutospacing="0" w:afterAutospacing="0" w:line="0" w:lineRule="atLeast"/>
        <w:ind w:right="176" w:rightChars="84"/>
        <w:jc w:val="center"/>
        <w:rPr>
          <w:color w:val="auto"/>
          <w:highlight w:val="none"/>
        </w:rPr>
      </w:pPr>
    </w:p>
    <w:p w14:paraId="51DD11DA">
      <w:pPr>
        <w:pStyle w:val="30"/>
        <w:tabs>
          <w:tab w:val="left" w:pos="9240"/>
        </w:tabs>
        <w:spacing w:beforeAutospacing="0" w:afterAutospacing="0" w:line="0" w:lineRule="atLeast"/>
        <w:ind w:right="176" w:rightChars="84"/>
        <w:jc w:val="center"/>
        <w:rPr>
          <w:color w:val="auto"/>
          <w:highlight w:val="none"/>
        </w:rPr>
      </w:pPr>
    </w:p>
    <w:p w14:paraId="25A072D8">
      <w:pPr>
        <w:pStyle w:val="30"/>
        <w:tabs>
          <w:tab w:val="left" w:pos="9240"/>
        </w:tabs>
        <w:spacing w:beforeAutospacing="0" w:afterAutospacing="0" w:line="0" w:lineRule="atLeast"/>
        <w:ind w:right="176" w:rightChars="84"/>
        <w:jc w:val="center"/>
        <w:rPr>
          <w:color w:val="auto"/>
          <w:highlight w:val="none"/>
        </w:rPr>
      </w:pPr>
    </w:p>
    <w:p w14:paraId="1E1B0670">
      <w:pPr>
        <w:pStyle w:val="30"/>
        <w:tabs>
          <w:tab w:val="left" w:pos="9240"/>
        </w:tabs>
        <w:spacing w:beforeAutospacing="0" w:afterAutospacing="0" w:line="0" w:lineRule="atLeast"/>
        <w:ind w:right="176" w:rightChars="84"/>
        <w:jc w:val="center"/>
        <w:rPr>
          <w:color w:val="auto"/>
          <w:highlight w:val="none"/>
        </w:rPr>
      </w:pPr>
    </w:p>
    <w:p w14:paraId="740A81CD">
      <w:pPr>
        <w:pStyle w:val="30"/>
        <w:tabs>
          <w:tab w:val="left" w:pos="9240"/>
        </w:tabs>
        <w:spacing w:beforeAutospacing="0" w:afterAutospacing="0" w:line="0" w:lineRule="atLeast"/>
        <w:ind w:right="176" w:rightChars="84"/>
        <w:jc w:val="center"/>
        <w:rPr>
          <w:color w:val="auto"/>
          <w:highlight w:val="none"/>
        </w:rPr>
      </w:pPr>
    </w:p>
    <w:p w14:paraId="0F18D821">
      <w:pPr>
        <w:pStyle w:val="30"/>
        <w:tabs>
          <w:tab w:val="left" w:pos="9240"/>
        </w:tabs>
        <w:spacing w:beforeAutospacing="0" w:afterAutospacing="0" w:line="0" w:lineRule="atLeast"/>
        <w:ind w:right="176" w:rightChars="84"/>
        <w:jc w:val="center"/>
        <w:rPr>
          <w:color w:val="auto"/>
          <w:highlight w:val="none"/>
        </w:rPr>
      </w:pPr>
    </w:p>
    <w:p w14:paraId="7F12CB75">
      <w:pPr>
        <w:pStyle w:val="30"/>
        <w:tabs>
          <w:tab w:val="left" w:pos="9240"/>
        </w:tabs>
        <w:spacing w:beforeAutospacing="0" w:afterAutospacing="0" w:line="0" w:lineRule="atLeast"/>
        <w:ind w:right="176" w:rightChars="84"/>
        <w:jc w:val="center"/>
        <w:rPr>
          <w:color w:val="auto"/>
          <w:highlight w:val="none"/>
        </w:rPr>
      </w:pPr>
    </w:p>
    <w:p w14:paraId="0885FAF9">
      <w:pPr>
        <w:pStyle w:val="30"/>
        <w:tabs>
          <w:tab w:val="left" w:pos="9240"/>
        </w:tabs>
        <w:spacing w:beforeAutospacing="0" w:afterAutospacing="0" w:line="0" w:lineRule="atLeast"/>
        <w:ind w:right="176" w:rightChars="84"/>
        <w:jc w:val="center"/>
        <w:rPr>
          <w:color w:val="auto"/>
          <w:highlight w:val="none"/>
        </w:rPr>
      </w:pPr>
    </w:p>
    <w:p w14:paraId="2FBAFD93">
      <w:pPr>
        <w:pStyle w:val="30"/>
        <w:tabs>
          <w:tab w:val="left" w:pos="9240"/>
        </w:tabs>
        <w:spacing w:beforeAutospacing="0" w:afterAutospacing="0" w:line="0" w:lineRule="atLeast"/>
        <w:ind w:right="176" w:rightChars="84" w:firstLine="643"/>
        <w:jc w:val="center"/>
        <w:rPr>
          <w:color w:val="auto"/>
          <w:highlight w:val="none"/>
        </w:rPr>
      </w:pPr>
      <w:r>
        <w:rPr>
          <w:rFonts w:hint="eastAsia" w:ascii="黑体" w:hAnsi="宋体" w:eastAsia="黑体" w:cs="黑体"/>
          <w:b/>
          <w:color w:val="auto"/>
          <w:sz w:val="32"/>
          <w:szCs w:val="32"/>
          <w:highlight w:val="none"/>
        </w:rPr>
        <w:t>九、中小企业声明函（货物）</w:t>
      </w:r>
    </w:p>
    <w:p w14:paraId="5C73E8E3">
      <w:pPr>
        <w:tabs>
          <w:tab w:val="left" w:pos="9240"/>
        </w:tabs>
        <w:spacing w:line="500" w:lineRule="exact"/>
        <w:ind w:right="176" w:rightChars="84"/>
        <w:rPr>
          <w:color w:val="auto"/>
          <w:sz w:val="24"/>
          <w:highlight w:val="none"/>
        </w:rPr>
      </w:pPr>
    </w:p>
    <w:p w14:paraId="471BED15">
      <w:pPr>
        <w:tabs>
          <w:tab w:val="left" w:pos="9240"/>
        </w:tabs>
        <w:spacing w:line="500" w:lineRule="exact"/>
        <w:ind w:right="176" w:rightChars="84" w:firstLine="480"/>
        <w:rPr>
          <w:color w:val="auto"/>
          <w:sz w:val="24"/>
          <w:highlight w:val="none"/>
        </w:rPr>
      </w:pPr>
      <w:r>
        <w:rPr>
          <w:rFonts w:hint="eastAsia"/>
          <w:color w:val="auto"/>
          <w:sz w:val="24"/>
          <w:highlight w:val="none"/>
        </w:rPr>
        <w:t>本公司（联合体）郑重声明，根据《政府采购促进中小企业发展管理办法》(财库〔2020〕46号)的规定，本公司（联合体）参加盐城市大丰公共资源交易中心组织的</w:t>
      </w:r>
      <w:r>
        <w:rPr>
          <w:rFonts w:hint="eastAsia"/>
          <w:color w:val="auto"/>
          <w:sz w:val="24"/>
          <w:highlight w:val="none"/>
          <w:u w:val="single"/>
        </w:rPr>
        <w:t>（单位名称)</w:t>
      </w:r>
      <w:r>
        <w:rPr>
          <w:rFonts w:hint="eastAsia"/>
          <w:color w:val="auto"/>
          <w:sz w:val="24"/>
          <w:highlight w:val="none"/>
        </w:rPr>
        <w:t>，采购编号为</w:t>
      </w:r>
      <w:r>
        <w:rPr>
          <w:rFonts w:hint="eastAsia"/>
          <w:color w:val="auto"/>
          <w:sz w:val="24"/>
          <w:highlight w:val="none"/>
          <w:u w:val="single"/>
        </w:rPr>
        <w:t xml:space="preserve">             </w:t>
      </w:r>
      <w:r>
        <w:rPr>
          <w:rFonts w:hint="eastAsia"/>
          <w:color w:val="auto"/>
          <w:sz w:val="24"/>
          <w:highlight w:val="none"/>
        </w:rPr>
        <w:t>的</w:t>
      </w:r>
      <w:r>
        <w:rPr>
          <w:rFonts w:hint="eastAsia"/>
          <w:color w:val="auto"/>
          <w:sz w:val="24"/>
          <w:highlight w:val="none"/>
          <w:u w:val="single"/>
        </w:rPr>
        <w:t xml:space="preserve">（项目名称）       </w:t>
      </w:r>
      <w:r>
        <w:rPr>
          <w:rFonts w:hint="eastAsia"/>
          <w:color w:val="auto"/>
          <w:sz w:val="24"/>
          <w:highlight w:val="none"/>
        </w:rPr>
        <w:t>的采购活动，提供的货物全部由符合政策要求的中小企业制造。相关企业（含联合体中的中小企业、签订分包意向协议的中小企业）的具体情况如下：</w:t>
      </w:r>
    </w:p>
    <w:p w14:paraId="39D572AD">
      <w:pPr>
        <w:pStyle w:val="30"/>
        <w:tabs>
          <w:tab w:val="left" w:pos="9240"/>
        </w:tabs>
        <w:spacing w:beforeAutospacing="0" w:afterAutospacing="0" w:line="360" w:lineRule="auto"/>
        <w:ind w:right="176" w:rightChars="84" w:firstLine="48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143EAA91">
      <w:pPr>
        <w:pStyle w:val="30"/>
        <w:tabs>
          <w:tab w:val="left" w:pos="9240"/>
        </w:tabs>
        <w:spacing w:beforeAutospacing="0" w:afterAutospacing="0" w:line="360" w:lineRule="auto"/>
        <w:ind w:right="176" w:rightChars="84" w:firstLine="48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22F39DEC">
      <w:pPr>
        <w:pStyle w:val="30"/>
        <w:tabs>
          <w:tab w:val="left" w:pos="9240"/>
        </w:tabs>
        <w:spacing w:beforeAutospacing="0" w:afterAutospacing="0" w:line="360" w:lineRule="auto"/>
        <w:ind w:right="176" w:rightChars="84" w:firstLine="480"/>
        <w:jc w:val="both"/>
        <w:rPr>
          <w:color w:val="auto"/>
          <w:highlight w:val="none"/>
        </w:rPr>
      </w:pPr>
      <w:r>
        <w:rPr>
          <w:rFonts w:hint="eastAsia"/>
          <w:color w:val="auto"/>
          <w:highlight w:val="none"/>
        </w:rPr>
        <w:t>……</w:t>
      </w:r>
    </w:p>
    <w:p w14:paraId="43D5E2BC">
      <w:pPr>
        <w:pStyle w:val="30"/>
        <w:tabs>
          <w:tab w:val="left" w:pos="9240"/>
        </w:tabs>
        <w:spacing w:beforeAutospacing="0" w:afterAutospacing="0" w:line="360" w:lineRule="auto"/>
        <w:ind w:right="176" w:rightChars="84" w:firstLine="48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6CF85628">
      <w:pPr>
        <w:pStyle w:val="30"/>
        <w:tabs>
          <w:tab w:val="left" w:pos="9240"/>
        </w:tabs>
        <w:spacing w:beforeAutospacing="0" w:afterAutospacing="0" w:line="360" w:lineRule="auto"/>
        <w:ind w:right="176" w:rightChars="84" w:firstLine="480"/>
        <w:jc w:val="both"/>
        <w:rPr>
          <w:color w:val="auto"/>
          <w:highlight w:val="none"/>
        </w:rPr>
      </w:pPr>
      <w:r>
        <w:rPr>
          <w:rFonts w:hint="eastAsia"/>
          <w:color w:val="auto"/>
          <w:highlight w:val="none"/>
        </w:rPr>
        <w:t>本企业对上述声明内容的真实性负责。如有虚假，将依法承担相应责任</w:t>
      </w:r>
    </w:p>
    <w:p w14:paraId="35DB7421">
      <w:pPr>
        <w:pStyle w:val="30"/>
        <w:tabs>
          <w:tab w:val="left" w:pos="9240"/>
        </w:tabs>
        <w:spacing w:beforeAutospacing="0" w:afterAutospacing="0" w:line="360" w:lineRule="auto"/>
        <w:ind w:right="176" w:rightChars="84" w:firstLine="480"/>
        <w:jc w:val="both"/>
        <w:rPr>
          <w:color w:val="auto"/>
          <w:highlight w:val="none"/>
        </w:rPr>
      </w:pPr>
      <w:r>
        <w:rPr>
          <w:color w:val="auto"/>
          <w:highlight w:val="none"/>
        </w:rPr>
        <w:t> </w:t>
      </w:r>
    </w:p>
    <w:p w14:paraId="3CBEF005">
      <w:pPr>
        <w:pStyle w:val="30"/>
        <w:tabs>
          <w:tab w:val="left" w:pos="9240"/>
        </w:tabs>
        <w:spacing w:beforeAutospacing="0" w:afterAutospacing="0" w:line="360" w:lineRule="auto"/>
        <w:ind w:right="176" w:rightChars="84" w:firstLine="480"/>
        <w:jc w:val="right"/>
        <w:rPr>
          <w:color w:val="auto"/>
          <w:highlight w:val="none"/>
        </w:rPr>
      </w:pPr>
      <w:r>
        <w:rPr>
          <w:rFonts w:hint="eastAsia"/>
          <w:color w:val="auto"/>
          <w:highlight w:val="none"/>
        </w:rPr>
        <w:t>企业名称（加盖CA电子公章）：</w:t>
      </w:r>
    </w:p>
    <w:p w14:paraId="7BA7EEF2">
      <w:pPr>
        <w:pStyle w:val="30"/>
        <w:tabs>
          <w:tab w:val="left" w:pos="9240"/>
        </w:tabs>
        <w:spacing w:beforeAutospacing="0" w:afterAutospacing="0" w:line="360" w:lineRule="auto"/>
        <w:ind w:right="176" w:rightChars="84" w:firstLine="5760"/>
        <w:jc w:val="both"/>
        <w:rPr>
          <w:color w:val="auto"/>
          <w:highlight w:val="none"/>
        </w:rPr>
      </w:pPr>
      <w:r>
        <w:rPr>
          <w:rFonts w:hint="eastAsia"/>
          <w:color w:val="auto"/>
          <w:highlight w:val="none"/>
        </w:rPr>
        <w:t>日  期：</w:t>
      </w:r>
    </w:p>
    <w:p w14:paraId="5B0ADEF0">
      <w:pPr>
        <w:pStyle w:val="30"/>
        <w:tabs>
          <w:tab w:val="left" w:pos="9240"/>
        </w:tabs>
        <w:spacing w:beforeAutospacing="0" w:afterAutospacing="0" w:line="360" w:lineRule="auto"/>
        <w:ind w:right="176" w:rightChars="84" w:firstLine="480"/>
        <w:jc w:val="both"/>
        <w:rPr>
          <w:color w:val="auto"/>
          <w:highlight w:val="none"/>
        </w:rPr>
      </w:pPr>
      <w:r>
        <w:rPr>
          <w:color w:val="auto"/>
          <w:highlight w:val="none"/>
        </w:rPr>
        <w:t> </w:t>
      </w:r>
    </w:p>
    <w:p w14:paraId="411F36AD">
      <w:pPr>
        <w:pStyle w:val="30"/>
        <w:tabs>
          <w:tab w:val="left" w:pos="9240"/>
        </w:tabs>
        <w:spacing w:beforeAutospacing="0" w:afterAutospacing="0" w:line="360" w:lineRule="auto"/>
        <w:ind w:right="176" w:rightChars="84"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11AE61EA">
      <w:pPr>
        <w:pStyle w:val="30"/>
        <w:tabs>
          <w:tab w:val="left" w:pos="9240"/>
        </w:tabs>
        <w:spacing w:beforeAutospacing="0" w:afterAutospacing="0" w:line="360" w:lineRule="auto"/>
        <w:ind w:right="176" w:rightChars="84"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2491510D">
      <w:pPr>
        <w:pStyle w:val="30"/>
        <w:tabs>
          <w:tab w:val="left" w:pos="9240"/>
        </w:tabs>
        <w:spacing w:beforeAutospacing="0" w:afterAutospacing="0" w:line="0" w:lineRule="atLeast"/>
        <w:ind w:right="176" w:rightChars="84" w:firstLine="643"/>
        <w:jc w:val="center"/>
        <w:rPr>
          <w:rFonts w:ascii="黑体" w:hAnsi="宋体" w:eastAsia="黑体" w:cs="黑体"/>
          <w:b/>
          <w:color w:val="auto"/>
          <w:sz w:val="32"/>
          <w:szCs w:val="32"/>
          <w:highlight w:val="none"/>
        </w:rPr>
      </w:pPr>
    </w:p>
    <w:p w14:paraId="5A724347">
      <w:pPr>
        <w:pStyle w:val="30"/>
        <w:tabs>
          <w:tab w:val="left" w:pos="9240"/>
        </w:tabs>
        <w:spacing w:beforeAutospacing="0" w:afterAutospacing="0" w:line="0" w:lineRule="atLeast"/>
        <w:ind w:right="176" w:rightChars="84" w:firstLine="643"/>
        <w:jc w:val="center"/>
        <w:rPr>
          <w:rFonts w:ascii="黑体" w:hAnsi="宋体" w:eastAsia="黑体" w:cs="黑体"/>
          <w:b/>
          <w:color w:val="auto"/>
          <w:sz w:val="32"/>
          <w:szCs w:val="32"/>
          <w:highlight w:val="none"/>
        </w:rPr>
      </w:pPr>
    </w:p>
    <w:p w14:paraId="180CF99B">
      <w:pPr>
        <w:pStyle w:val="30"/>
        <w:tabs>
          <w:tab w:val="left" w:pos="9240"/>
        </w:tabs>
        <w:spacing w:beforeAutospacing="0" w:afterAutospacing="0" w:line="0" w:lineRule="atLeast"/>
        <w:ind w:right="176" w:rightChars="84" w:firstLine="643"/>
        <w:jc w:val="center"/>
        <w:rPr>
          <w:rFonts w:ascii="黑体" w:hAnsi="宋体" w:eastAsia="黑体" w:cs="黑体"/>
          <w:b/>
          <w:color w:val="auto"/>
          <w:sz w:val="32"/>
          <w:szCs w:val="32"/>
          <w:highlight w:val="none"/>
        </w:rPr>
      </w:pPr>
    </w:p>
    <w:p w14:paraId="18864987">
      <w:pPr>
        <w:pStyle w:val="30"/>
        <w:tabs>
          <w:tab w:val="left" w:pos="9240"/>
        </w:tabs>
        <w:spacing w:beforeAutospacing="0" w:afterAutospacing="0" w:line="0" w:lineRule="atLeast"/>
        <w:ind w:right="176" w:rightChars="84" w:firstLine="643"/>
        <w:jc w:val="center"/>
        <w:rPr>
          <w:rFonts w:ascii="黑体" w:hAnsi="宋体" w:eastAsia="黑体" w:cs="黑体"/>
          <w:b/>
          <w:color w:val="auto"/>
          <w:sz w:val="32"/>
          <w:szCs w:val="32"/>
          <w:highlight w:val="none"/>
        </w:rPr>
      </w:pPr>
    </w:p>
    <w:p w14:paraId="4F179473">
      <w:pPr>
        <w:pStyle w:val="30"/>
        <w:tabs>
          <w:tab w:val="left" w:pos="9240"/>
        </w:tabs>
        <w:spacing w:beforeAutospacing="0" w:afterAutospacing="0" w:line="0" w:lineRule="atLeast"/>
        <w:ind w:right="176" w:rightChars="84" w:firstLine="643"/>
        <w:jc w:val="center"/>
        <w:rPr>
          <w:color w:val="auto"/>
          <w:highlight w:val="none"/>
        </w:rPr>
      </w:pPr>
      <w:r>
        <w:rPr>
          <w:rFonts w:hint="eastAsia" w:ascii="黑体" w:hAnsi="宋体" w:eastAsia="黑体" w:cs="黑体"/>
          <w:b/>
          <w:color w:val="auto"/>
          <w:sz w:val="32"/>
          <w:szCs w:val="32"/>
          <w:highlight w:val="none"/>
        </w:rPr>
        <w:t> 十、残疾人福利性单位声明函</w:t>
      </w:r>
    </w:p>
    <w:p w14:paraId="6B96F582">
      <w:pPr>
        <w:pStyle w:val="30"/>
        <w:tabs>
          <w:tab w:val="left" w:pos="9240"/>
        </w:tabs>
        <w:spacing w:beforeAutospacing="0" w:afterAutospacing="0" w:line="480" w:lineRule="exact"/>
        <w:ind w:right="176" w:rightChars="84"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387FFFE8">
      <w:pPr>
        <w:pStyle w:val="30"/>
        <w:tabs>
          <w:tab w:val="left" w:pos="9240"/>
        </w:tabs>
        <w:spacing w:beforeAutospacing="0" w:afterAutospacing="0" w:line="480" w:lineRule="exact"/>
        <w:ind w:right="176" w:rightChars="84"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626E48B9">
      <w:pPr>
        <w:pStyle w:val="30"/>
        <w:tabs>
          <w:tab w:val="left" w:pos="9240"/>
        </w:tabs>
        <w:spacing w:beforeAutospacing="0" w:afterAutospacing="0" w:line="480" w:lineRule="exact"/>
        <w:ind w:right="176" w:rightChars="84"/>
        <w:jc w:val="both"/>
        <w:rPr>
          <w:color w:val="auto"/>
          <w:highlight w:val="none"/>
        </w:rPr>
      </w:pPr>
      <w:r>
        <w:rPr>
          <w:color w:val="auto"/>
          <w:highlight w:val="none"/>
        </w:rPr>
        <w:t> </w:t>
      </w:r>
    </w:p>
    <w:p w14:paraId="4261E105">
      <w:pPr>
        <w:pStyle w:val="30"/>
        <w:tabs>
          <w:tab w:val="left" w:pos="9240"/>
        </w:tabs>
        <w:spacing w:beforeAutospacing="0" w:afterAutospacing="0" w:line="480" w:lineRule="exact"/>
        <w:ind w:right="176" w:rightChars="84"/>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备注：1、供应商如不提供此声明函，价格将不做相应扣除（如项目全面面向中小企业，则资格审查不通过）。2、中标供应商为残疾人福利单位的，此声明函将随中标结果同时公告，接受社会监督</w:t>
      </w:r>
    </w:p>
    <w:p w14:paraId="3394E1B1">
      <w:pPr>
        <w:pStyle w:val="30"/>
        <w:tabs>
          <w:tab w:val="left" w:pos="9240"/>
        </w:tabs>
        <w:spacing w:beforeAutospacing="0" w:afterAutospacing="0" w:line="0" w:lineRule="atLeast"/>
        <w:ind w:right="176" w:rightChars="84"/>
        <w:jc w:val="both"/>
        <w:rPr>
          <w:color w:val="auto"/>
          <w:highlight w:val="none"/>
        </w:rPr>
      </w:pPr>
      <w:r>
        <w:rPr>
          <w:color w:val="auto"/>
          <w:highlight w:val="none"/>
        </w:rPr>
        <w:t> </w:t>
      </w:r>
    </w:p>
    <w:p w14:paraId="53857A8E">
      <w:pPr>
        <w:pStyle w:val="30"/>
        <w:tabs>
          <w:tab w:val="left" w:pos="4864"/>
          <w:tab w:val="left" w:pos="9240"/>
        </w:tabs>
        <w:spacing w:beforeAutospacing="0" w:afterAutospacing="0" w:line="0" w:lineRule="atLeast"/>
        <w:ind w:right="176" w:rightChars="84" w:firstLine="600"/>
        <w:jc w:val="center"/>
        <w:rPr>
          <w:rFonts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w:t>
      </w:r>
    </w:p>
    <w:p w14:paraId="4435CD48">
      <w:pPr>
        <w:pStyle w:val="30"/>
        <w:tabs>
          <w:tab w:val="left" w:pos="4864"/>
          <w:tab w:val="left" w:pos="9240"/>
        </w:tabs>
        <w:spacing w:beforeAutospacing="0" w:afterAutospacing="0" w:line="0" w:lineRule="atLeast"/>
        <w:ind w:right="176" w:rightChars="84"/>
        <w:jc w:val="center"/>
        <w:rPr>
          <w:rFonts w:ascii="宋体" w:hAnsi="宋体" w:eastAsia="宋体" w:cs="宋体"/>
          <w:color w:val="auto"/>
          <w:highlight w:val="none"/>
        </w:rPr>
      </w:pPr>
    </w:p>
    <w:p w14:paraId="3B291170">
      <w:pPr>
        <w:pStyle w:val="30"/>
        <w:tabs>
          <w:tab w:val="left" w:pos="4864"/>
          <w:tab w:val="left" w:pos="9240"/>
        </w:tabs>
        <w:spacing w:beforeAutospacing="0" w:afterAutospacing="0" w:line="0" w:lineRule="atLeast"/>
        <w:ind w:right="176" w:rightChars="84"/>
        <w:jc w:val="center"/>
        <w:rPr>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供应商全称（加盖CA电子公章）：</w:t>
      </w:r>
    </w:p>
    <w:p w14:paraId="611BB2C9">
      <w:pPr>
        <w:pStyle w:val="30"/>
        <w:tabs>
          <w:tab w:val="left" w:pos="4864"/>
          <w:tab w:val="left" w:pos="9240"/>
        </w:tabs>
        <w:spacing w:beforeAutospacing="0" w:afterAutospacing="0" w:line="0" w:lineRule="atLeast"/>
        <w:ind w:right="176" w:rightChars="84"/>
        <w:jc w:val="center"/>
        <w:rPr>
          <w:color w:val="auto"/>
          <w:highlight w:val="none"/>
        </w:rPr>
      </w:pPr>
      <w:r>
        <w:rPr>
          <w:rFonts w:hint="eastAsia" w:ascii="宋体" w:hAnsi="宋体" w:eastAsia="宋体" w:cs="宋体"/>
          <w:color w:val="auto"/>
          <w:highlight w:val="none"/>
        </w:rPr>
        <w:t>   日  期：</w:t>
      </w:r>
    </w:p>
    <w:p w14:paraId="709C62DA">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40D890C1">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08259ECB">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28405424">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659183FB">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14B0A676">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055E4185">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032CD471">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66F3AACD">
      <w:pPr>
        <w:pStyle w:val="30"/>
        <w:tabs>
          <w:tab w:val="left" w:pos="9240"/>
        </w:tabs>
        <w:spacing w:beforeAutospacing="0" w:afterAutospacing="0" w:line="0" w:lineRule="atLeast"/>
        <w:ind w:right="176" w:rightChars="84"/>
        <w:jc w:val="center"/>
        <w:rPr>
          <w:color w:val="auto"/>
          <w:highlight w:val="none"/>
        </w:rPr>
      </w:pPr>
      <w:r>
        <w:rPr>
          <w:color w:val="auto"/>
          <w:highlight w:val="none"/>
        </w:rPr>
        <w:t> </w:t>
      </w:r>
    </w:p>
    <w:p w14:paraId="66EF84CF">
      <w:pPr>
        <w:pStyle w:val="30"/>
        <w:tabs>
          <w:tab w:val="left" w:pos="9240"/>
        </w:tabs>
        <w:spacing w:beforeAutospacing="0" w:afterAutospacing="0" w:line="0" w:lineRule="atLeast"/>
        <w:ind w:right="176" w:rightChars="84"/>
        <w:jc w:val="center"/>
        <w:rPr>
          <w:color w:val="auto"/>
          <w:highlight w:val="none"/>
        </w:rPr>
      </w:pPr>
    </w:p>
    <w:p w14:paraId="57FFACBB">
      <w:pPr>
        <w:pStyle w:val="30"/>
        <w:tabs>
          <w:tab w:val="left" w:pos="9240"/>
        </w:tabs>
        <w:spacing w:beforeAutospacing="0" w:afterAutospacing="0" w:line="0" w:lineRule="atLeast"/>
        <w:ind w:right="176" w:rightChars="84"/>
        <w:jc w:val="center"/>
        <w:rPr>
          <w:color w:val="auto"/>
          <w:highlight w:val="none"/>
        </w:rPr>
      </w:pPr>
    </w:p>
    <w:p w14:paraId="7A88921F">
      <w:pPr>
        <w:pStyle w:val="30"/>
        <w:tabs>
          <w:tab w:val="left" w:pos="9240"/>
        </w:tabs>
        <w:spacing w:beforeAutospacing="0" w:afterAutospacing="0" w:line="0" w:lineRule="atLeast"/>
        <w:ind w:right="176" w:rightChars="84"/>
        <w:jc w:val="center"/>
        <w:rPr>
          <w:color w:val="auto"/>
          <w:highlight w:val="none"/>
        </w:rPr>
      </w:pPr>
    </w:p>
    <w:p w14:paraId="0AF0B891">
      <w:pPr>
        <w:pStyle w:val="30"/>
        <w:tabs>
          <w:tab w:val="left" w:pos="9240"/>
        </w:tabs>
        <w:spacing w:beforeAutospacing="0" w:afterAutospacing="0" w:line="0" w:lineRule="atLeast"/>
        <w:ind w:right="176" w:rightChars="84"/>
        <w:jc w:val="center"/>
        <w:rPr>
          <w:color w:val="auto"/>
          <w:highlight w:val="none"/>
        </w:rPr>
      </w:pPr>
    </w:p>
    <w:p w14:paraId="25855348">
      <w:pPr>
        <w:pStyle w:val="30"/>
        <w:tabs>
          <w:tab w:val="left" w:pos="9240"/>
        </w:tabs>
        <w:spacing w:beforeAutospacing="0" w:afterAutospacing="0" w:line="0" w:lineRule="atLeast"/>
        <w:ind w:right="176" w:rightChars="84"/>
        <w:jc w:val="center"/>
        <w:rPr>
          <w:color w:val="auto"/>
          <w:highlight w:val="none"/>
        </w:rPr>
      </w:pPr>
    </w:p>
    <w:p w14:paraId="7B04B55D">
      <w:pPr>
        <w:pStyle w:val="30"/>
        <w:tabs>
          <w:tab w:val="left" w:pos="9240"/>
        </w:tabs>
        <w:spacing w:beforeAutospacing="0" w:afterAutospacing="0" w:line="0" w:lineRule="atLeast"/>
        <w:ind w:right="176" w:rightChars="84"/>
        <w:jc w:val="center"/>
        <w:rPr>
          <w:color w:val="auto"/>
          <w:highlight w:val="none"/>
        </w:rPr>
      </w:pPr>
    </w:p>
    <w:p w14:paraId="5958B835">
      <w:pPr>
        <w:pStyle w:val="30"/>
        <w:tabs>
          <w:tab w:val="left" w:pos="9240"/>
        </w:tabs>
        <w:spacing w:beforeAutospacing="0" w:afterAutospacing="0" w:line="0" w:lineRule="atLeast"/>
        <w:ind w:right="176" w:rightChars="84"/>
        <w:jc w:val="center"/>
        <w:rPr>
          <w:color w:val="auto"/>
          <w:highlight w:val="none"/>
        </w:rPr>
      </w:pPr>
    </w:p>
    <w:p w14:paraId="25EA8CED">
      <w:pPr>
        <w:pStyle w:val="30"/>
        <w:tabs>
          <w:tab w:val="left" w:pos="9240"/>
        </w:tabs>
        <w:spacing w:beforeAutospacing="0" w:afterAutospacing="0" w:line="0" w:lineRule="atLeast"/>
        <w:ind w:right="176" w:rightChars="84"/>
        <w:jc w:val="center"/>
        <w:rPr>
          <w:color w:val="auto"/>
          <w:highlight w:val="none"/>
        </w:rPr>
      </w:pPr>
    </w:p>
    <w:p w14:paraId="4E4DC9C8">
      <w:pPr>
        <w:pStyle w:val="30"/>
        <w:tabs>
          <w:tab w:val="left" w:pos="9240"/>
        </w:tabs>
        <w:spacing w:beforeAutospacing="0" w:afterAutospacing="0" w:line="0" w:lineRule="atLeast"/>
        <w:ind w:right="176" w:rightChars="84"/>
        <w:jc w:val="center"/>
        <w:rPr>
          <w:color w:val="auto"/>
          <w:highlight w:val="none"/>
        </w:rPr>
      </w:pPr>
    </w:p>
    <w:p w14:paraId="4790A843">
      <w:pPr>
        <w:pStyle w:val="30"/>
        <w:tabs>
          <w:tab w:val="left" w:pos="9240"/>
        </w:tabs>
        <w:spacing w:beforeAutospacing="0" w:afterAutospacing="0" w:line="0" w:lineRule="atLeast"/>
        <w:ind w:right="176" w:rightChars="84"/>
        <w:jc w:val="center"/>
        <w:rPr>
          <w:color w:val="auto"/>
          <w:highlight w:val="none"/>
        </w:rPr>
      </w:pPr>
    </w:p>
    <w:p w14:paraId="19DAB31F">
      <w:pPr>
        <w:pStyle w:val="30"/>
        <w:tabs>
          <w:tab w:val="left" w:pos="9240"/>
        </w:tabs>
        <w:spacing w:beforeAutospacing="0" w:afterAutospacing="0" w:line="0" w:lineRule="atLeast"/>
        <w:ind w:right="176" w:rightChars="84"/>
        <w:jc w:val="center"/>
        <w:rPr>
          <w:color w:val="auto"/>
          <w:highlight w:val="none"/>
        </w:rPr>
      </w:pPr>
    </w:p>
    <w:p w14:paraId="04715C25">
      <w:pPr>
        <w:pStyle w:val="30"/>
        <w:tabs>
          <w:tab w:val="left" w:pos="9240"/>
        </w:tabs>
        <w:spacing w:beforeAutospacing="0" w:afterAutospacing="0" w:line="0" w:lineRule="atLeast"/>
        <w:ind w:right="176" w:rightChars="84"/>
        <w:jc w:val="center"/>
        <w:rPr>
          <w:color w:val="auto"/>
          <w:highlight w:val="none"/>
        </w:rPr>
      </w:pPr>
    </w:p>
    <w:p w14:paraId="0C17C84E">
      <w:pPr>
        <w:pStyle w:val="30"/>
        <w:tabs>
          <w:tab w:val="left" w:pos="9240"/>
        </w:tabs>
        <w:spacing w:beforeAutospacing="0" w:afterAutospacing="0" w:line="0" w:lineRule="atLeast"/>
        <w:ind w:right="176" w:rightChars="84"/>
        <w:jc w:val="center"/>
        <w:rPr>
          <w:color w:val="auto"/>
          <w:highlight w:val="none"/>
        </w:rPr>
      </w:pPr>
    </w:p>
    <w:p w14:paraId="5F59F880">
      <w:pPr>
        <w:pStyle w:val="30"/>
        <w:tabs>
          <w:tab w:val="left" w:pos="9240"/>
        </w:tabs>
        <w:spacing w:beforeAutospacing="0" w:afterAutospacing="0" w:line="0" w:lineRule="atLeast"/>
        <w:ind w:right="176" w:rightChars="84"/>
        <w:jc w:val="center"/>
        <w:rPr>
          <w:color w:val="auto"/>
          <w:highlight w:val="none"/>
        </w:rPr>
      </w:pPr>
    </w:p>
    <w:p w14:paraId="5961C04A">
      <w:pPr>
        <w:pStyle w:val="30"/>
        <w:tabs>
          <w:tab w:val="left" w:pos="9240"/>
        </w:tabs>
        <w:spacing w:beforeAutospacing="0" w:afterAutospacing="0" w:line="0" w:lineRule="atLeast"/>
        <w:ind w:right="176" w:rightChars="84"/>
        <w:jc w:val="center"/>
        <w:rPr>
          <w:color w:val="auto"/>
          <w:highlight w:val="none"/>
        </w:rPr>
      </w:pPr>
    </w:p>
    <w:p w14:paraId="073EC6E3">
      <w:pPr>
        <w:pStyle w:val="30"/>
        <w:tabs>
          <w:tab w:val="left" w:pos="9240"/>
        </w:tabs>
        <w:spacing w:beforeAutospacing="0" w:afterAutospacing="0" w:line="0" w:lineRule="atLeast"/>
        <w:ind w:right="176" w:rightChars="84" w:firstLine="643"/>
        <w:jc w:val="center"/>
        <w:rPr>
          <w:color w:val="auto"/>
          <w:highlight w:val="none"/>
        </w:rPr>
      </w:pPr>
      <w:r>
        <w:rPr>
          <w:rFonts w:hint="eastAsia" w:ascii="黑体" w:hAnsi="宋体" w:eastAsia="黑体" w:cs="黑体"/>
          <w:b/>
          <w:color w:val="auto"/>
          <w:sz w:val="32"/>
          <w:szCs w:val="32"/>
          <w:highlight w:val="none"/>
        </w:rPr>
        <w:t>十一、联合体协议</w:t>
      </w:r>
    </w:p>
    <w:p w14:paraId="67F18246">
      <w:pPr>
        <w:pStyle w:val="30"/>
        <w:tabs>
          <w:tab w:val="left" w:pos="9240"/>
        </w:tabs>
        <w:spacing w:beforeAutospacing="0" w:afterAutospacing="0" w:line="480" w:lineRule="exact"/>
        <w:ind w:right="176" w:rightChars="84"/>
        <w:jc w:val="both"/>
        <w:rPr>
          <w:color w:val="auto"/>
          <w:highlight w:val="none"/>
        </w:rPr>
      </w:pPr>
      <w:r>
        <w:rPr>
          <w:rFonts w:hint="eastAsia" w:ascii="宋体" w:hAnsi="宋体" w:eastAsia="宋体" w:cs="宋体"/>
          <w:color w:val="auto"/>
          <w:highlight w:val="none"/>
        </w:rPr>
        <w:t>（联合体中各供应商全称）在此达成以下协议：</w:t>
      </w:r>
    </w:p>
    <w:p w14:paraId="0A9EF7F5">
      <w:pPr>
        <w:pStyle w:val="30"/>
        <w:tabs>
          <w:tab w:val="left" w:pos="9240"/>
        </w:tabs>
        <w:spacing w:beforeAutospacing="0" w:afterAutospacing="0" w:line="480" w:lineRule="exact"/>
        <w:ind w:right="176" w:rightChars="84" w:firstLine="480"/>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自愿组成联合体，参加盐城市大丰公共资源交易中心组织的采购编号为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4BBBC49F">
      <w:pPr>
        <w:pStyle w:val="30"/>
        <w:tabs>
          <w:tab w:val="left" w:pos="9240"/>
        </w:tabs>
        <w:spacing w:beforeAutospacing="0" w:afterAutospacing="0" w:line="480" w:lineRule="exact"/>
        <w:ind w:right="176" w:rightChars="84" w:firstLine="480"/>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1605014D">
      <w:pPr>
        <w:pStyle w:val="30"/>
        <w:tabs>
          <w:tab w:val="left" w:pos="9240"/>
        </w:tabs>
        <w:spacing w:beforeAutospacing="0" w:afterAutospacing="0" w:line="480" w:lineRule="exact"/>
        <w:ind w:right="176" w:rightChars="84" w:firstLine="480"/>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80034C9">
      <w:pPr>
        <w:pStyle w:val="30"/>
        <w:tabs>
          <w:tab w:val="left" w:pos="9240"/>
        </w:tabs>
        <w:spacing w:beforeAutospacing="0" w:afterAutospacing="0" w:line="480" w:lineRule="exact"/>
        <w:ind w:right="176" w:rightChars="84"/>
        <w:jc w:val="both"/>
        <w:rPr>
          <w:color w:val="auto"/>
          <w:highlight w:val="none"/>
        </w:rPr>
      </w:pPr>
      <w:r>
        <w:rPr>
          <w:color w:val="auto"/>
          <w:highlight w:val="none"/>
        </w:rPr>
        <w:t> </w:t>
      </w:r>
    </w:p>
    <w:p w14:paraId="401FC7B1">
      <w:pPr>
        <w:pStyle w:val="30"/>
        <w:tabs>
          <w:tab w:val="left" w:pos="9240"/>
        </w:tabs>
        <w:spacing w:beforeAutospacing="0" w:afterAutospacing="0" w:line="480" w:lineRule="exact"/>
        <w:ind w:right="176" w:rightChars="84"/>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59FF26B0">
      <w:pPr>
        <w:pStyle w:val="30"/>
        <w:tabs>
          <w:tab w:val="left" w:pos="9240"/>
        </w:tabs>
        <w:spacing w:beforeAutospacing="0" w:afterAutospacing="0" w:line="0" w:lineRule="atLeast"/>
        <w:ind w:right="176" w:rightChars="84"/>
        <w:jc w:val="both"/>
        <w:rPr>
          <w:color w:val="auto"/>
          <w:highlight w:val="none"/>
        </w:rPr>
      </w:pPr>
      <w:r>
        <w:rPr>
          <w:rFonts w:hint="eastAsia" w:ascii="宋体" w:hAnsi="宋体" w:eastAsia="宋体" w:cs="宋体"/>
          <w:color w:val="auto"/>
          <w:highlight w:val="none"/>
        </w:rPr>
        <w:t xml:space="preserve">                                          </w:t>
      </w:r>
    </w:p>
    <w:p w14:paraId="761A5B9F">
      <w:pPr>
        <w:pStyle w:val="30"/>
        <w:tabs>
          <w:tab w:val="left" w:pos="9240"/>
        </w:tabs>
        <w:spacing w:beforeAutospacing="0" w:afterAutospacing="0" w:line="0" w:lineRule="atLeast"/>
        <w:ind w:right="176" w:rightChars="84"/>
        <w:jc w:val="right"/>
        <w:rPr>
          <w:color w:val="auto"/>
          <w:highlight w:val="none"/>
        </w:rPr>
      </w:pPr>
      <w:r>
        <w:rPr>
          <w:rFonts w:hint="eastAsia" w:ascii="宋体" w:hAnsi="宋体" w:eastAsia="宋体" w:cs="宋体"/>
          <w:color w:val="auto"/>
          <w:highlight w:val="none"/>
        </w:rPr>
        <w:t xml:space="preserve">联合体中各供应商全称（公章）：     </w:t>
      </w:r>
    </w:p>
    <w:p w14:paraId="2009AB2D">
      <w:pPr>
        <w:pStyle w:val="30"/>
        <w:tabs>
          <w:tab w:val="left" w:pos="9240"/>
        </w:tabs>
        <w:spacing w:beforeAutospacing="0" w:afterAutospacing="0" w:line="0" w:lineRule="atLeast"/>
        <w:ind w:right="176" w:rightChars="84"/>
        <w:jc w:val="both"/>
        <w:rPr>
          <w:color w:val="auto"/>
          <w:highlight w:val="none"/>
        </w:rPr>
      </w:pPr>
      <w:r>
        <w:rPr>
          <w:rFonts w:hint="eastAsia" w:ascii="宋体" w:hAnsi="宋体" w:eastAsia="宋体" w:cs="宋体"/>
          <w:color w:val="auto"/>
          <w:highlight w:val="none"/>
        </w:rPr>
        <w:t xml:space="preserve">                                        </w:t>
      </w:r>
      <w:r>
        <w:rPr>
          <w:rFonts w:ascii="宋体" w:hAnsi="宋体" w:eastAsia="宋体" w:cs="宋体"/>
          <w:color w:val="auto"/>
          <w:highlight w:val="none"/>
        </w:rPr>
        <w:t xml:space="preserve">                                            </w:t>
      </w:r>
      <w:r>
        <w:rPr>
          <w:rFonts w:hint="eastAsia" w:ascii="宋体" w:hAnsi="宋体" w:eastAsia="宋体" w:cs="宋体"/>
          <w:color w:val="auto"/>
          <w:highlight w:val="none"/>
        </w:rPr>
        <w:t>日期：</w:t>
      </w:r>
    </w:p>
    <w:p w14:paraId="5FBA97AD">
      <w:pPr>
        <w:pStyle w:val="30"/>
        <w:tabs>
          <w:tab w:val="left" w:pos="9240"/>
        </w:tabs>
        <w:spacing w:beforeAutospacing="0" w:afterAutospacing="0" w:line="0" w:lineRule="atLeast"/>
        <w:ind w:right="176" w:rightChars="84"/>
        <w:jc w:val="both"/>
        <w:rPr>
          <w:color w:val="auto"/>
          <w:highlight w:val="none"/>
        </w:rPr>
      </w:pPr>
      <w:r>
        <w:rPr>
          <w:color w:val="auto"/>
          <w:highlight w:val="none"/>
        </w:rPr>
        <w:t> </w:t>
      </w:r>
    </w:p>
    <w:p w14:paraId="4D0FB127">
      <w:pPr>
        <w:pStyle w:val="30"/>
        <w:tabs>
          <w:tab w:val="left" w:pos="9240"/>
        </w:tabs>
        <w:spacing w:beforeAutospacing="0" w:afterAutospacing="0" w:line="0" w:lineRule="atLeast"/>
        <w:ind w:right="176" w:rightChars="84"/>
        <w:jc w:val="both"/>
        <w:rPr>
          <w:color w:val="auto"/>
          <w:highlight w:val="none"/>
        </w:rPr>
      </w:pPr>
      <w:r>
        <w:rPr>
          <w:color w:val="auto"/>
          <w:highlight w:val="none"/>
        </w:rPr>
        <w:t> </w:t>
      </w:r>
    </w:p>
    <w:p w14:paraId="53979F76">
      <w:pPr>
        <w:pStyle w:val="30"/>
        <w:tabs>
          <w:tab w:val="left" w:pos="9240"/>
        </w:tabs>
        <w:spacing w:beforeAutospacing="0" w:afterAutospacing="0" w:line="0" w:lineRule="atLeast"/>
        <w:ind w:right="176" w:rightChars="84"/>
        <w:jc w:val="both"/>
        <w:rPr>
          <w:color w:val="auto"/>
          <w:highlight w:val="none"/>
        </w:rPr>
      </w:pPr>
      <w:r>
        <w:rPr>
          <w:color w:val="auto"/>
          <w:highlight w:val="none"/>
        </w:rPr>
        <w:t> </w:t>
      </w:r>
    </w:p>
    <w:p w14:paraId="1EC81D05">
      <w:pPr>
        <w:pStyle w:val="30"/>
        <w:tabs>
          <w:tab w:val="left" w:pos="9240"/>
        </w:tabs>
        <w:spacing w:beforeAutospacing="0" w:afterAutospacing="0" w:line="0" w:lineRule="atLeast"/>
        <w:ind w:right="176" w:rightChars="84"/>
        <w:jc w:val="both"/>
        <w:rPr>
          <w:color w:val="auto"/>
          <w:highlight w:val="none"/>
        </w:rPr>
      </w:pPr>
      <w:r>
        <w:rPr>
          <w:color w:val="auto"/>
          <w:highlight w:val="none"/>
        </w:rPr>
        <w:t> </w:t>
      </w:r>
    </w:p>
    <w:p w14:paraId="3BE827A4">
      <w:pPr>
        <w:pStyle w:val="30"/>
        <w:tabs>
          <w:tab w:val="left" w:pos="9240"/>
        </w:tabs>
        <w:spacing w:beforeAutospacing="0" w:afterAutospacing="0" w:line="0" w:lineRule="atLeast"/>
        <w:ind w:right="176" w:rightChars="84"/>
        <w:jc w:val="both"/>
        <w:rPr>
          <w:color w:val="auto"/>
          <w:highlight w:val="none"/>
        </w:rPr>
      </w:pPr>
      <w:r>
        <w:rPr>
          <w:color w:val="auto"/>
          <w:highlight w:val="none"/>
        </w:rPr>
        <w:t> </w:t>
      </w:r>
    </w:p>
    <w:p w14:paraId="772982BE">
      <w:pPr>
        <w:pStyle w:val="30"/>
        <w:tabs>
          <w:tab w:val="left" w:pos="9240"/>
        </w:tabs>
        <w:spacing w:beforeAutospacing="0" w:afterAutospacing="0" w:line="0" w:lineRule="atLeast"/>
        <w:ind w:right="176" w:rightChars="84"/>
        <w:jc w:val="both"/>
        <w:rPr>
          <w:color w:val="auto"/>
          <w:highlight w:val="none"/>
        </w:rPr>
      </w:pPr>
    </w:p>
    <w:p w14:paraId="2EA80D22">
      <w:pPr>
        <w:pStyle w:val="30"/>
        <w:tabs>
          <w:tab w:val="left" w:pos="9240"/>
        </w:tabs>
        <w:spacing w:beforeAutospacing="0" w:afterAutospacing="0" w:line="0" w:lineRule="atLeast"/>
        <w:ind w:right="176" w:rightChars="84"/>
        <w:jc w:val="both"/>
        <w:rPr>
          <w:color w:val="auto"/>
          <w:highlight w:val="none"/>
        </w:rPr>
      </w:pPr>
    </w:p>
    <w:p w14:paraId="303524E4">
      <w:pPr>
        <w:pStyle w:val="30"/>
        <w:tabs>
          <w:tab w:val="left" w:pos="9240"/>
        </w:tabs>
        <w:spacing w:beforeAutospacing="0" w:afterAutospacing="0" w:line="0" w:lineRule="atLeast"/>
        <w:ind w:right="176" w:rightChars="84"/>
        <w:jc w:val="both"/>
        <w:rPr>
          <w:color w:val="auto"/>
          <w:highlight w:val="none"/>
        </w:rPr>
      </w:pPr>
    </w:p>
    <w:p w14:paraId="342D2B2C">
      <w:pPr>
        <w:pStyle w:val="30"/>
        <w:tabs>
          <w:tab w:val="left" w:pos="9240"/>
        </w:tabs>
        <w:spacing w:beforeAutospacing="0" w:afterAutospacing="0" w:line="0" w:lineRule="atLeast"/>
        <w:ind w:right="176" w:rightChars="84"/>
        <w:jc w:val="both"/>
        <w:rPr>
          <w:color w:val="auto"/>
          <w:highlight w:val="none"/>
        </w:rPr>
      </w:pPr>
    </w:p>
    <w:p w14:paraId="1A6B95D4">
      <w:pPr>
        <w:pStyle w:val="30"/>
        <w:tabs>
          <w:tab w:val="left" w:pos="9240"/>
        </w:tabs>
        <w:spacing w:beforeAutospacing="0" w:afterAutospacing="0" w:line="0" w:lineRule="atLeast"/>
        <w:ind w:right="176" w:rightChars="84"/>
        <w:jc w:val="both"/>
        <w:rPr>
          <w:color w:val="auto"/>
          <w:highlight w:val="none"/>
        </w:rPr>
      </w:pPr>
    </w:p>
    <w:p w14:paraId="4AF5CD67">
      <w:pPr>
        <w:pStyle w:val="30"/>
        <w:tabs>
          <w:tab w:val="left" w:pos="9240"/>
        </w:tabs>
        <w:spacing w:beforeAutospacing="0" w:afterAutospacing="0" w:line="0" w:lineRule="atLeast"/>
        <w:ind w:right="176" w:rightChars="84"/>
        <w:jc w:val="both"/>
        <w:rPr>
          <w:color w:val="auto"/>
          <w:highlight w:val="none"/>
        </w:rPr>
      </w:pPr>
    </w:p>
    <w:p w14:paraId="74A891A8">
      <w:pPr>
        <w:pStyle w:val="30"/>
        <w:tabs>
          <w:tab w:val="left" w:pos="9240"/>
        </w:tabs>
        <w:spacing w:beforeAutospacing="0" w:afterAutospacing="0" w:line="0" w:lineRule="atLeast"/>
        <w:ind w:right="176" w:rightChars="84"/>
        <w:jc w:val="both"/>
        <w:rPr>
          <w:color w:val="auto"/>
          <w:highlight w:val="none"/>
        </w:rPr>
      </w:pPr>
    </w:p>
    <w:p w14:paraId="492F52E5">
      <w:pPr>
        <w:pStyle w:val="30"/>
        <w:tabs>
          <w:tab w:val="left" w:pos="9240"/>
        </w:tabs>
        <w:spacing w:beforeAutospacing="0" w:afterAutospacing="0" w:line="0" w:lineRule="atLeast"/>
        <w:ind w:right="176" w:rightChars="84"/>
        <w:jc w:val="both"/>
        <w:rPr>
          <w:color w:val="auto"/>
          <w:highlight w:val="none"/>
        </w:rPr>
      </w:pPr>
    </w:p>
    <w:p w14:paraId="486CF11E">
      <w:pPr>
        <w:pStyle w:val="30"/>
        <w:tabs>
          <w:tab w:val="left" w:pos="9240"/>
        </w:tabs>
        <w:spacing w:beforeAutospacing="0" w:afterAutospacing="0" w:line="0" w:lineRule="atLeast"/>
        <w:ind w:right="176" w:rightChars="84"/>
        <w:jc w:val="both"/>
        <w:rPr>
          <w:color w:val="auto"/>
          <w:highlight w:val="none"/>
        </w:rPr>
      </w:pPr>
    </w:p>
    <w:p w14:paraId="23241435">
      <w:pPr>
        <w:pStyle w:val="30"/>
        <w:tabs>
          <w:tab w:val="left" w:pos="9240"/>
        </w:tabs>
        <w:spacing w:beforeAutospacing="0" w:afterAutospacing="0" w:line="0" w:lineRule="atLeast"/>
        <w:ind w:right="176" w:rightChars="84"/>
        <w:jc w:val="both"/>
        <w:rPr>
          <w:color w:val="auto"/>
          <w:highlight w:val="none"/>
        </w:rPr>
      </w:pPr>
    </w:p>
    <w:p w14:paraId="79113343">
      <w:pPr>
        <w:pStyle w:val="30"/>
        <w:tabs>
          <w:tab w:val="left" w:pos="9240"/>
        </w:tabs>
        <w:spacing w:beforeAutospacing="0" w:afterAutospacing="0" w:line="0" w:lineRule="atLeast"/>
        <w:ind w:right="176" w:rightChars="84"/>
        <w:jc w:val="both"/>
        <w:rPr>
          <w:color w:val="auto"/>
          <w:highlight w:val="none"/>
        </w:rPr>
      </w:pPr>
    </w:p>
    <w:p w14:paraId="771FFB48">
      <w:pPr>
        <w:pStyle w:val="30"/>
        <w:tabs>
          <w:tab w:val="left" w:pos="9240"/>
        </w:tabs>
        <w:spacing w:beforeAutospacing="0" w:afterAutospacing="0" w:line="0" w:lineRule="atLeast"/>
        <w:ind w:right="176" w:rightChars="84"/>
        <w:jc w:val="both"/>
        <w:rPr>
          <w:color w:val="auto"/>
          <w:highlight w:val="none"/>
        </w:rPr>
      </w:pPr>
    </w:p>
    <w:p w14:paraId="6CFDE7D4">
      <w:pPr>
        <w:pStyle w:val="30"/>
        <w:tabs>
          <w:tab w:val="left" w:pos="9240"/>
        </w:tabs>
        <w:spacing w:beforeAutospacing="0" w:afterAutospacing="0" w:line="0" w:lineRule="atLeast"/>
        <w:ind w:right="176" w:rightChars="84"/>
        <w:jc w:val="both"/>
        <w:rPr>
          <w:color w:val="auto"/>
          <w:highlight w:val="none"/>
        </w:rPr>
      </w:pPr>
    </w:p>
    <w:p w14:paraId="7326A173">
      <w:pPr>
        <w:pStyle w:val="30"/>
        <w:tabs>
          <w:tab w:val="left" w:pos="9240"/>
        </w:tabs>
        <w:spacing w:beforeAutospacing="0" w:afterAutospacing="0" w:line="0" w:lineRule="atLeast"/>
        <w:ind w:right="176" w:rightChars="84"/>
        <w:jc w:val="both"/>
        <w:rPr>
          <w:color w:val="auto"/>
          <w:highlight w:val="none"/>
        </w:rPr>
      </w:pPr>
    </w:p>
    <w:p w14:paraId="49C1DB57">
      <w:pPr>
        <w:pStyle w:val="30"/>
        <w:tabs>
          <w:tab w:val="left" w:pos="9240"/>
        </w:tabs>
        <w:spacing w:beforeAutospacing="0" w:afterAutospacing="0" w:line="0" w:lineRule="atLeast"/>
        <w:ind w:right="176" w:rightChars="84"/>
        <w:jc w:val="both"/>
        <w:rPr>
          <w:color w:val="auto"/>
          <w:highlight w:val="none"/>
        </w:rPr>
      </w:pPr>
    </w:p>
    <w:p w14:paraId="6D65BD59">
      <w:pPr>
        <w:pStyle w:val="30"/>
        <w:tabs>
          <w:tab w:val="left" w:pos="9240"/>
        </w:tabs>
        <w:spacing w:beforeAutospacing="0" w:afterAutospacing="0" w:line="0" w:lineRule="atLeast"/>
        <w:ind w:right="176" w:rightChars="84"/>
        <w:jc w:val="both"/>
        <w:rPr>
          <w:color w:val="auto"/>
          <w:highlight w:val="none"/>
        </w:rPr>
      </w:pPr>
    </w:p>
    <w:p w14:paraId="74ACC177">
      <w:pPr>
        <w:pStyle w:val="30"/>
        <w:tabs>
          <w:tab w:val="left" w:pos="9240"/>
        </w:tabs>
        <w:spacing w:beforeAutospacing="0" w:afterAutospacing="0" w:line="0" w:lineRule="atLeast"/>
        <w:ind w:right="176" w:rightChars="84"/>
        <w:jc w:val="both"/>
        <w:rPr>
          <w:color w:val="auto"/>
          <w:highlight w:val="none"/>
        </w:rPr>
      </w:pPr>
      <w:r>
        <w:rPr>
          <w:color w:val="auto"/>
          <w:highlight w:val="none"/>
        </w:rPr>
        <w:t> </w:t>
      </w:r>
    </w:p>
    <w:p w14:paraId="46EE6F5A">
      <w:pPr>
        <w:pStyle w:val="30"/>
        <w:tabs>
          <w:tab w:val="left" w:pos="9240"/>
        </w:tabs>
        <w:spacing w:beforeAutospacing="0" w:afterAutospacing="0"/>
        <w:ind w:right="176" w:rightChars="84" w:firstLine="643"/>
        <w:jc w:val="center"/>
        <w:rPr>
          <w:color w:val="auto"/>
          <w:highlight w:val="none"/>
        </w:rPr>
      </w:pPr>
      <w:r>
        <w:rPr>
          <w:rFonts w:hint="eastAsia" w:ascii="黑体" w:hAnsi="宋体" w:eastAsia="黑体" w:cs="黑体"/>
          <w:b/>
          <w:color w:val="auto"/>
          <w:sz w:val="32"/>
          <w:szCs w:val="32"/>
          <w:highlight w:val="none"/>
        </w:rPr>
        <w:t>十二、投标分项报价表</w:t>
      </w:r>
    </w:p>
    <w:tbl>
      <w:tblPr>
        <w:tblStyle w:val="32"/>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996"/>
        <w:gridCol w:w="905"/>
        <w:gridCol w:w="1298"/>
        <w:gridCol w:w="746"/>
        <w:gridCol w:w="918"/>
        <w:gridCol w:w="696"/>
        <w:gridCol w:w="1516"/>
        <w:gridCol w:w="1985"/>
      </w:tblGrid>
      <w:tr w14:paraId="42FE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546" w:type="dxa"/>
            <w:shd w:val="clear" w:color="auto" w:fill="auto"/>
            <w:vAlign w:val="center"/>
          </w:tcPr>
          <w:p w14:paraId="6A168212">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序号</w:t>
            </w:r>
          </w:p>
        </w:tc>
        <w:tc>
          <w:tcPr>
            <w:tcW w:w="996" w:type="dxa"/>
            <w:shd w:val="clear" w:color="auto" w:fill="auto"/>
            <w:vAlign w:val="center"/>
          </w:tcPr>
          <w:p w14:paraId="5609220F">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1</w:t>
            </w:r>
          </w:p>
        </w:tc>
        <w:tc>
          <w:tcPr>
            <w:tcW w:w="905" w:type="dxa"/>
            <w:shd w:val="clear" w:color="auto" w:fill="auto"/>
            <w:vAlign w:val="center"/>
          </w:tcPr>
          <w:p w14:paraId="57B1B8D1">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2</w:t>
            </w:r>
          </w:p>
        </w:tc>
        <w:tc>
          <w:tcPr>
            <w:tcW w:w="1298" w:type="dxa"/>
            <w:shd w:val="clear" w:color="auto" w:fill="auto"/>
            <w:vAlign w:val="center"/>
          </w:tcPr>
          <w:p w14:paraId="1C6151AE">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3</w:t>
            </w:r>
          </w:p>
        </w:tc>
        <w:tc>
          <w:tcPr>
            <w:tcW w:w="746" w:type="dxa"/>
            <w:shd w:val="clear" w:color="auto" w:fill="auto"/>
            <w:vAlign w:val="center"/>
          </w:tcPr>
          <w:p w14:paraId="334F5D1A">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4</w:t>
            </w:r>
          </w:p>
        </w:tc>
        <w:tc>
          <w:tcPr>
            <w:tcW w:w="918" w:type="dxa"/>
            <w:shd w:val="clear" w:color="auto" w:fill="auto"/>
            <w:vAlign w:val="center"/>
          </w:tcPr>
          <w:p w14:paraId="64FBF975">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5</w:t>
            </w:r>
          </w:p>
        </w:tc>
        <w:tc>
          <w:tcPr>
            <w:tcW w:w="696" w:type="dxa"/>
            <w:shd w:val="clear" w:color="auto" w:fill="auto"/>
            <w:vAlign w:val="center"/>
          </w:tcPr>
          <w:p w14:paraId="6262CEA4">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6</w:t>
            </w:r>
          </w:p>
        </w:tc>
        <w:tc>
          <w:tcPr>
            <w:tcW w:w="1516" w:type="dxa"/>
            <w:shd w:val="clear" w:color="auto" w:fill="auto"/>
            <w:vAlign w:val="center"/>
          </w:tcPr>
          <w:p w14:paraId="01353DFD">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7</w:t>
            </w:r>
          </w:p>
        </w:tc>
        <w:tc>
          <w:tcPr>
            <w:tcW w:w="1985" w:type="dxa"/>
            <w:shd w:val="clear" w:color="auto" w:fill="auto"/>
            <w:vAlign w:val="center"/>
          </w:tcPr>
          <w:p w14:paraId="1B47D1AF">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8</w:t>
            </w:r>
          </w:p>
        </w:tc>
      </w:tr>
      <w:tr w14:paraId="0157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546" w:type="dxa"/>
            <w:shd w:val="clear" w:color="auto" w:fill="auto"/>
            <w:vAlign w:val="center"/>
          </w:tcPr>
          <w:p w14:paraId="0FB59E45">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1</w:t>
            </w:r>
          </w:p>
        </w:tc>
        <w:tc>
          <w:tcPr>
            <w:tcW w:w="996" w:type="dxa"/>
            <w:shd w:val="clear" w:color="auto" w:fill="auto"/>
            <w:vAlign w:val="center"/>
          </w:tcPr>
          <w:p w14:paraId="453A9686">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产品</w:t>
            </w:r>
          </w:p>
          <w:p w14:paraId="3AE735C8">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名称</w:t>
            </w:r>
          </w:p>
        </w:tc>
        <w:tc>
          <w:tcPr>
            <w:tcW w:w="905" w:type="dxa"/>
            <w:shd w:val="clear" w:color="auto" w:fill="auto"/>
            <w:vAlign w:val="center"/>
          </w:tcPr>
          <w:p w14:paraId="39D9CB12">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品牌</w:t>
            </w:r>
          </w:p>
        </w:tc>
        <w:tc>
          <w:tcPr>
            <w:tcW w:w="1298" w:type="dxa"/>
            <w:shd w:val="clear" w:color="auto" w:fill="auto"/>
            <w:vAlign w:val="center"/>
          </w:tcPr>
          <w:p w14:paraId="5210E546">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规格</w:t>
            </w:r>
          </w:p>
          <w:p w14:paraId="3F278CBC">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型号</w:t>
            </w:r>
          </w:p>
        </w:tc>
        <w:tc>
          <w:tcPr>
            <w:tcW w:w="746" w:type="dxa"/>
            <w:shd w:val="clear" w:color="auto" w:fill="auto"/>
            <w:vAlign w:val="center"/>
          </w:tcPr>
          <w:p w14:paraId="412D1F9F">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产地</w:t>
            </w:r>
          </w:p>
        </w:tc>
        <w:tc>
          <w:tcPr>
            <w:tcW w:w="918" w:type="dxa"/>
            <w:shd w:val="clear" w:color="auto" w:fill="auto"/>
            <w:vAlign w:val="center"/>
          </w:tcPr>
          <w:p w14:paraId="417B4617">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交付期</w:t>
            </w:r>
          </w:p>
        </w:tc>
        <w:tc>
          <w:tcPr>
            <w:tcW w:w="696" w:type="dxa"/>
            <w:shd w:val="clear" w:color="auto" w:fill="auto"/>
            <w:vAlign w:val="center"/>
          </w:tcPr>
          <w:p w14:paraId="2FCC7A12">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数量</w:t>
            </w:r>
          </w:p>
        </w:tc>
        <w:tc>
          <w:tcPr>
            <w:tcW w:w="1516" w:type="dxa"/>
            <w:shd w:val="clear" w:color="auto" w:fill="auto"/>
            <w:vAlign w:val="center"/>
          </w:tcPr>
          <w:p w14:paraId="2038C016">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分项单价</w:t>
            </w:r>
          </w:p>
        </w:tc>
        <w:tc>
          <w:tcPr>
            <w:tcW w:w="1985" w:type="dxa"/>
            <w:shd w:val="clear" w:color="auto" w:fill="auto"/>
            <w:vAlign w:val="center"/>
          </w:tcPr>
          <w:p w14:paraId="5BF76E85">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分项总价</w:t>
            </w:r>
          </w:p>
        </w:tc>
      </w:tr>
      <w:tr w14:paraId="3E0B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blCellSpacing w:w="0" w:type="dxa"/>
        </w:trPr>
        <w:tc>
          <w:tcPr>
            <w:tcW w:w="546" w:type="dxa"/>
            <w:shd w:val="clear" w:color="auto" w:fill="auto"/>
            <w:vAlign w:val="center"/>
          </w:tcPr>
          <w:p w14:paraId="2742D9C1">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2</w:t>
            </w:r>
          </w:p>
        </w:tc>
        <w:tc>
          <w:tcPr>
            <w:tcW w:w="996" w:type="dxa"/>
            <w:shd w:val="clear" w:color="auto" w:fill="auto"/>
            <w:vAlign w:val="center"/>
          </w:tcPr>
          <w:p w14:paraId="5FABD7E3">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905" w:type="dxa"/>
            <w:shd w:val="clear" w:color="auto" w:fill="auto"/>
            <w:vAlign w:val="center"/>
          </w:tcPr>
          <w:p w14:paraId="671CDA63">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298" w:type="dxa"/>
            <w:shd w:val="clear" w:color="auto" w:fill="auto"/>
            <w:vAlign w:val="center"/>
          </w:tcPr>
          <w:p w14:paraId="7F6F87F5">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746" w:type="dxa"/>
            <w:shd w:val="clear" w:color="auto" w:fill="auto"/>
            <w:vAlign w:val="center"/>
          </w:tcPr>
          <w:p w14:paraId="77C5C533">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918" w:type="dxa"/>
            <w:shd w:val="clear" w:color="auto" w:fill="auto"/>
            <w:vAlign w:val="center"/>
          </w:tcPr>
          <w:p w14:paraId="55703BD4">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696" w:type="dxa"/>
            <w:shd w:val="clear" w:color="auto" w:fill="auto"/>
            <w:vAlign w:val="center"/>
          </w:tcPr>
          <w:p w14:paraId="6FD09672">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516" w:type="dxa"/>
            <w:shd w:val="clear" w:color="auto" w:fill="auto"/>
            <w:vAlign w:val="center"/>
          </w:tcPr>
          <w:p w14:paraId="3DA06DA5">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985" w:type="dxa"/>
            <w:shd w:val="clear" w:color="auto" w:fill="auto"/>
            <w:vAlign w:val="center"/>
          </w:tcPr>
          <w:p w14:paraId="33C441F5">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r>
      <w:tr w14:paraId="14249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CellSpacing w:w="0" w:type="dxa"/>
        </w:trPr>
        <w:tc>
          <w:tcPr>
            <w:tcW w:w="546" w:type="dxa"/>
            <w:shd w:val="clear" w:color="auto" w:fill="auto"/>
            <w:vAlign w:val="center"/>
          </w:tcPr>
          <w:p w14:paraId="4ACEC350">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3</w:t>
            </w:r>
          </w:p>
        </w:tc>
        <w:tc>
          <w:tcPr>
            <w:tcW w:w="996" w:type="dxa"/>
            <w:shd w:val="clear" w:color="auto" w:fill="auto"/>
            <w:vAlign w:val="center"/>
          </w:tcPr>
          <w:p w14:paraId="4204BD37">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905" w:type="dxa"/>
            <w:shd w:val="clear" w:color="auto" w:fill="auto"/>
            <w:vAlign w:val="center"/>
          </w:tcPr>
          <w:p w14:paraId="6EEA9702">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298" w:type="dxa"/>
            <w:shd w:val="clear" w:color="auto" w:fill="auto"/>
            <w:vAlign w:val="center"/>
          </w:tcPr>
          <w:p w14:paraId="696FD7FD">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746" w:type="dxa"/>
            <w:shd w:val="clear" w:color="auto" w:fill="auto"/>
            <w:vAlign w:val="center"/>
          </w:tcPr>
          <w:p w14:paraId="5EE9F183">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918" w:type="dxa"/>
            <w:shd w:val="clear" w:color="auto" w:fill="auto"/>
            <w:vAlign w:val="center"/>
          </w:tcPr>
          <w:p w14:paraId="3F95893A">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696" w:type="dxa"/>
            <w:shd w:val="clear" w:color="auto" w:fill="auto"/>
            <w:vAlign w:val="center"/>
          </w:tcPr>
          <w:p w14:paraId="7805A4C2">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516" w:type="dxa"/>
            <w:shd w:val="clear" w:color="auto" w:fill="auto"/>
            <w:vAlign w:val="center"/>
          </w:tcPr>
          <w:p w14:paraId="30502F0F">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985" w:type="dxa"/>
            <w:shd w:val="clear" w:color="auto" w:fill="auto"/>
            <w:vAlign w:val="center"/>
          </w:tcPr>
          <w:p w14:paraId="4CC3DC40">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r>
      <w:tr w14:paraId="1C5D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46" w:type="dxa"/>
            <w:shd w:val="clear" w:color="auto" w:fill="auto"/>
            <w:vAlign w:val="center"/>
          </w:tcPr>
          <w:p w14:paraId="09595566">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4</w:t>
            </w:r>
          </w:p>
        </w:tc>
        <w:tc>
          <w:tcPr>
            <w:tcW w:w="996" w:type="dxa"/>
            <w:shd w:val="clear" w:color="auto" w:fill="auto"/>
            <w:vAlign w:val="center"/>
          </w:tcPr>
          <w:p w14:paraId="547BFB1A">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905" w:type="dxa"/>
            <w:shd w:val="clear" w:color="auto" w:fill="auto"/>
            <w:vAlign w:val="center"/>
          </w:tcPr>
          <w:p w14:paraId="02E7E275">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298" w:type="dxa"/>
            <w:shd w:val="clear" w:color="auto" w:fill="auto"/>
            <w:vAlign w:val="center"/>
          </w:tcPr>
          <w:p w14:paraId="0E01C3FA">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746" w:type="dxa"/>
            <w:shd w:val="clear" w:color="auto" w:fill="auto"/>
            <w:vAlign w:val="center"/>
          </w:tcPr>
          <w:p w14:paraId="56BD8FB7">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918" w:type="dxa"/>
            <w:shd w:val="clear" w:color="auto" w:fill="auto"/>
            <w:vAlign w:val="center"/>
          </w:tcPr>
          <w:p w14:paraId="4D54E76D">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696" w:type="dxa"/>
            <w:shd w:val="clear" w:color="auto" w:fill="auto"/>
            <w:vAlign w:val="center"/>
          </w:tcPr>
          <w:p w14:paraId="2581FBA1">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516" w:type="dxa"/>
            <w:shd w:val="clear" w:color="auto" w:fill="auto"/>
            <w:vAlign w:val="center"/>
          </w:tcPr>
          <w:p w14:paraId="483E2DE4">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985" w:type="dxa"/>
            <w:shd w:val="clear" w:color="auto" w:fill="auto"/>
            <w:vAlign w:val="center"/>
          </w:tcPr>
          <w:p w14:paraId="349DA264">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r>
      <w:tr w14:paraId="2F08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CellSpacing w:w="0" w:type="dxa"/>
        </w:trPr>
        <w:tc>
          <w:tcPr>
            <w:tcW w:w="546" w:type="dxa"/>
            <w:shd w:val="clear" w:color="auto" w:fill="auto"/>
            <w:vAlign w:val="center"/>
          </w:tcPr>
          <w:p w14:paraId="21D84D2E">
            <w:pPr>
              <w:pStyle w:val="30"/>
              <w:keepNext w:val="0"/>
              <w:keepLines w:val="0"/>
              <w:suppressLineNumbers w:val="0"/>
              <w:tabs>
                <w:tab w:val="left" w:pos="9240"/>
              </w:tabs>
              <w:spacing w:before="0" w:beforeAutospacing="0" w:after="0" w:afterAutospacing="0" w:line="0" w:lineRule="atLeast"/>
              <w:ind w:left="0" w:right="176" w:rightChars="84"/>
              <w:jc w:val="center"/>
              <w:rPr>
                <w:rFonts w:hint="default"/>
                <w:color w:val="auto"/>
                <w:highlight w:val="none"/>
              </w:rPr>
            </w:pPr>
            <w:r>
              <w:rPr>
                <w:rFonts w:hint="eastAsia" w:ascii="宋体" w:hAnsi="宋体" w:eastAsia="宋体" w:cs="宋体"/>
                <w:color w:val="auto"/>
                <w:highlight w:val="none"/>
              </w:rPr>
              <w:t>…</w:t>
            </w:r>
          </w:p>
        </w:tc>
        <w:tc>
          <w:tcPr>
            <w:tcW w:w="996" w:type="dxa"/>
            <w:shd w:val="clear" w:color="auto" w:fill="auto"/>
            <w:vAlign w:val="center"/>
          </w:tcPr>
          <w:p w14:paraId="5CFBEF6E">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eastAsia" w:ascii="宋体" w:hAnsi="宋体" w:eastAsia="宋体" w:cs="宋体"/>
                <w:color w:val="auto"/>
                <w:highlight w:val="none"/>
              </w:rPr>
              <w:t>……</w:t>
            </w:r>
          </w:p>
        </w:tc>
        <w:tc>
          <w:tcPr>
            <w:tcW w:w="905" w:type="dxa"/>
            <w:shd w:val="clear" w:color="auto" w:fill="auto"/>
            <w:vAlign w:val="center"/>
          </w:tcPr>
          <w:p w14:paraId="0AAD6546">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298" w:type="dxa"/>
            <w:shd w:val="clear" w:color="auto" w:fill="auto"/>
            <w:vAlign w:val="center"/>
          </w:tcPr>
          <w:p w14:paraId="59511C90">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746" w:type="dxa"/>
            <w:shd w:val="clear" w:color="auto" w:fill="auto"/>
            <w:vAlign w:val="center"/>
          </w:tcPr>
          <w:p w14:paraId="6A144734">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918" w:type="dxa"/>
            <w:shd w:val="clear" w:color="auto" w:fill="auto"/>
            <w:vAlign w:val="center"/>
          </w:tcPr>
          <w:p w14:paraId="696F0B9E">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696" w:type="dxa"/>
            <w:shd w:val="clear" w:color="auto" w:fill="auto"/>
            <w:vAlign w:val="center"/>
          </w:tcPr>
          <w:p w14:paraId="6BC8EAFF">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516" w:type="dxa"/>
            <w:shd w:val="clear" w:color="auto" w:fill="auto"/>
            <w:vAlign w:val="center"/>
          </w:tcPr>
          <w:p w14:paraId="12A99770">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c>
          <w:tcPr>
            <w:tcW w:w="1985" w:type="dxa"/>
            <w:shd w:val="clear" w:color="auto" w:fill="auto"/>
            <w:vAlign w:val="center"/>
          </w:tcPr>
          <w:p w14:paraId="359C8FAB">
            <w:pPr>
              <w:pStyle w:val="30"/>
              <w:keepNext w:val="0"/>
              <w:keepLines w:val="0"/>
              <w:suppressLineNumbers w:val="0"/>
              <w:tabs>
                <w:tab w:val="left" w:pos="9240"/>
              </w:tabs>
              <w:spacing w:before="0" w:beforeAutospacing="0" w:after="0" w:afterAutospacing="0" w:line="0" w:lineRule="atLeast"/>
              <w:ind w:left="0" w:right="176" w:rightChars="84"/>
              <w:jc w:val="both"/>
              <w:rPr>
                <w:rFonts w:hint="default"/>
                <w:color w:val="auto"/>
                <w:highlight w:val="none"/>
              </w:rPr>
            </w:pPr>
            <w:r>
              <w:rPr>
                <w:rFonts w:hint="default"/>
                <w:color w:val="auto"/>
                <w:highlight w:val="none"/>
              </w:rPr>
              <w:t> </w:t>
            </w:r>
          </w:p>
        </w:tc>
      </w:tr>
      <w:tr w14:paraId="5E19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CellSpacing w:w="0" w:type="dxa"/>
        </w:trPr>
        <w:tc>
          <w:tcPr>
            <w:tcW w:w="7621" w:type="dxa"/>
            <w:gridSpan w:val="8"/>
            <w:shd w:val="clear" w:color="auto" w:fill="auto"/>
            <w:vAlign w:val="center"/>
          </w:tcPr>
          <w:p w14:paraId="43CFD9E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投标总报价（人民币：元）</w:t>
            </w:r>
          </w:p>
        </w:tc>
        <w:tc>
          <w:tcPr>
            <w:tcW w:w="1985" w:type="dxa"/>
            <w:shd w:val="clear" w:color="auto" w:fill="auto"/>
            <w:vAlign w:val="center"/>
          </w:tcPr>
          <w:p w14:paraId="5662E272">
            <w:pPr>
              <w:pStyle w:val="30"/>
              <w:keepNext w:val="0"/>
              <w:keepLines w:val="0"/>
              <w:suppressLineNumbers w:val="0"/>
              <w:tabs>
                <w:tab w:val="left" w:pos="9240"/>
              </w:tabs>
              <w:spacing w:before="0" w:beforeAutospacing="0" w:after="0" w:afterAutospacing="0"/>
              <w:ind w:left="0" w:right="176" w:rightChars="84"/>
              <w:jc w:val="both"/>
              <w:rPr>
                <w:rFonts w:hint="default"/>
                <w:color w:val="auto"/>
                <w:highlight w:val="none"/>
              </w:rPr>
            </w:pPr>
            <w:r>
              <w:rPr>
                <w:rFonts w:hint="default"/>
                <w:color w:val="auto"/>
                <w:highlight w:val="none"/>
              </w:rPr>
              <w:t> </w:t>
            </w:r>
          </w:p>
        </w:tc>
      </w:tr>
    </w:tbl>
    <w:p w14:paraId="79219B81">
      <w:pPr>
        <w:pStyle w:val="30"/>
        <w:tabs>
          <w:tab w:val="left" w:pos="9240"/>
        </w:tabs>
        <w:spacing w:beforeAutospacing="0" w:afterAutospacing="0"/>
        <w:ind w:right="176" w:rightChars="84"/>
        <w:jc w:val="both"/>
        <w:rPr>
          <w:color w:val="auto"/>
          <w:highlight w:val="none"/>
        </w:rPr>
      </w:pPr>
      <w:r>
        <w:rPr>
          <w:color w:val="auto"/>
          <w:highlight w:val="none"/>
        </w:rPr>
        <w:t> </w:t>
      </w:r>
    </w:p>
    <w:p w14:paraId="63FA4D1C">
      <w:pPr>
        <w:pStyle w:val="30"/>
        <w:tabs>
          <w:tab w:val="left" w:pos="9240"/>
        </w:tabs>
        <w:spacing w:beforeAutospacing="0" w:afterAutospacing="0"/>
        <w:ind w:right="176" w:rightChars="84"/>
        <w:jc w:val="both"/>
        <w:rPr>
          <w:rFonts w:hint="eastAsia" w:ascii="宋体" w:hAnsi="宋体" w:eastAsia="宋体" w:cs="宋体"/>
          <w:color w:val="auto"/>
          <w:highlight w:val="none"/>
        </w:rPr>
      </w:pPr>
      <w:r>
        <w:rPr>
          <w:color w:val="auto"/>
          <w:highlight w:val="none"/>
        </w:rPr>
        <w:t>  </w:t>
      </w:r>
      <w:r>
        <w:rPr>
          <w:rFonts w:hint="eastAsia" w:ascii="宋体" w:hAnsi="宋体" w:eastAsia="宋体" w:cs="宋体"/>
          <w:color w:val="auto"/>
          <w:highlight w:val="none"/>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投标分项报价表</w:t>
      </w:r>
      <w:r>
        <w:rPr>
          <w:rFonts w:hint="eastAsia" w:ascii="宋体" w:hAnsi="宋体" w:eastAsia="宋体" w:cs="宋体"/>
          <w:color w:val="auto"/>
          <w:sz w:val="21"/>
          <w:szCs w:val="21"/>
          <w:highlight w:val="none"/>
        </w:rPr>
        <w:t>”</w:t>
      </w:r>
      <w:r>
        <w:rPr>
          <w:rFonts w:hint="eastAsia" w:ascii="宋体" w:hAnsi="宋体" w:eastAsia="宋体" w:cs="宋体"/>
          <w:color w:val="auto"/>
          <w:highlight w:val="none"/>
        </w:rPr>
        <w:t>中“投标总报价”数额应当与“开标一览表”中“投标总报价”数额一致。</w:t>
      </w:r>
    </w:p>
    <w:p w14:paraId="17FFBF4F">
      <w:pPr>
        <w:widowControl w:val="0"/>
        <w:tabs>
          <w:tab w:val="left" w:pos="9240"/>
        </w:tabs>
        <w:spacing w:beforeAutospacing="0" w:afterAutospacing="0"/>
        <w:ind w:right="176" w:rightChars="8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46FD816F">
      <w:pPr>
        <w:pStyle w:val="30"/>
        <w:tabs>
          <w:tab w:val="left" w:pos="9240"/>
        </w:tabs>
        <w:spacing w:beforeAutospacing="0" w:afterAutospacing="0"/>
        <w:ind w:right="176" w:rightChars="84"/>
        <w:jc w:val="both"/>
        <w:rPr>
          <w:color w:val="auto"/>
          <w:highlight w:val="none"/>
        </w:rPr>
      </w:pPr>
    </w:p>
    <w:p w14:paraId="2D8FBFA2">
      <w:pPr>
        <w:pStyle w:val="30"/>
        <w:tabs>
          <w:tab w:val="left" w:pos="9240"/>
        </w:tabs>
        <w:spacing w:beforeAutospacing="0" w:afterAutospacing="0"/>
        <w:ind w:right="176" w:rightChars="84"/>
        <w:jc w:val="both"/>
        <w:rPr>
          <w:color w:val="auto"/>
          <w:highlight w:val="none"/>
        </w:rPr>
      </w:pPr>
      <w:r>
        <w:rPr>
          <w:color w:val="auto"/>
          <w:highlight w:val="none"/>
        </w:rPr>
        <w:t> </w:t>
      </w:r>
    </w:p>
    <w:p w14:paraId="3F41E2AE">
      <w:pPr>
        <w:pStyle w:val="30"/>
        <w:tabs>
          <w:tab w:val="left" w:pos="9240"/>
        </w:tabs>
        <w:spacing w:beforeAutospacing="0" w:afterAutospacing="0"/>
        <w:ind w:right="176" w:rightChars="84"/>
        <w:jc w:val="both"/>
        <w:rPr>
          <w:color w:val="auto"/>
          <w:highlight w:val="none"/>
        </w:rPr>
      </w:pPr>
      <w:r>
        <w:rPr>
          <w:color w:val="auto"/>
          <w:highlight w:val="none"/>
        </w:rPr>
        <w:t> </w:t>
      </w:r>
    </w:p>
    <w:p w14:paraId="0C28FC4A">
      <w:pPr>
        <w:pStyle w:val="30"/>
        <w:tabs>
          <w:tab w:val="left" w:pos="9240"/>
        </w:tabs>
        <w:spacing w:beforeAutospacing="0" w:afterAutospacing="0"/>
        <w:ind w:right="176" w:rightChars="84"/>
        <w:jc w:val="both"/>
        <w:rPr>
          <w:color w:val="auto"/>
          <w:highlight w:val="none"/>
        </w:rPr>
      </w:pPr>
      <w:r>
        <w:rPr>
          <w:color w:val="auto"/>
          <w:highlight w:val="none"/>
        </w:rPr>
        <w:t> </w:t>
      </w:r>
    </w:p>
    <w:p w14:paraId="6C6E658C">
      <w:pPr>
        <w:pStyle w:val="30"/>
        <w:tabs>
          <w:tab w:val="left" w:pos="9240"/>
        </w:tabs>
        <w:spacing w:beforeAutospacing="0" w:afterAutospacing="0"/>
        <w:ind w:right="176" w:rightChars="84"/>
        <w:jc w:val="both"/>
        <w:rPr>
          <w:color w:val="auto"/>
          <w:highlight w:val="none"/>
        </w:rPr>
      </w:pPr>
    </w:p>
    <w:p w14:paraId="72EDB706">
      <w:pPr>
        <w:pStyle w:val="30"/>
        <w:tabs>
          <w:tab w:val="left" w:pos="9240"/>
        </w:tabs>
        <w:spacing w:beforeAutospacing="0" w:afterAutospacing="0"/>
        <w:ind w:right="176" w:rightChars="84"/>
        <w:jc w:val="both"/>
        <w:rPr>
          <w:color w:val="auto"/>
          <w:highlight w:val="none"/>
        </w:rPr>
      </w:pPr>
    </w:p>
    <w:p w14:paraId="06C10ADD">
      <w:pPr>
        <w:pStyle w:val="30"/>
        <w:tabs>
          <w:tab w:val="left" w:pos="9240"/>
        </w:tabs>
        <w:spacing w:beforeAutospacing="0" w:afterAutospacing="0"/>
        <w:ind w:right="176" w:rightChars="84"/>
        <w:jc w:val="both"/>
        <w:rPr>
          <w:color w:val="auto"/>
          <w:highlight w:val="none"/>
        </w:rPr>
      </w:pPr>
    </w:p>
    <w:p w14:paraId="7A378BA8">
      <w:pPr>
        <w:pStyle w:val="30"/>
        <w:tabs>
          <w:tab w:val="left" w:pos="9240"/>
        </w:tabs>
        <w:spacing w:beforeAutospacing="0" w:afterAutospacing="0"/>
        <w:ind w:right="176" w:rightChars="84"/>
        <w:jc w:val="both"/>
        <w:rPr>
          <w:color w:val="auto"/>
          <w:highlight w:val="none"/>
        </w:rPr>
      </w:pPr>
    </w:p>
    <w:p w14:paraId="3BC9E720">
      <w:pPr>
        <w:pStyle w:val="30"/>
        <w:tabs>
          <w:tab w:val="left" w:pos="9240"/>
        </w:tabs>
        <w:spacing w:beforeAutospacing="0" w:afterAutospacing="0"/>
        <w:ind w:right="176" w:rightChars="84"/>
        <w:jc w:val="both"/>
        <w:rPr>
          <w:color w:val="auto"/>
          <w:highlight w:val="none"/>
        </w:rPr>
      </w:pPr>
    </w:p>
    <w:p w14:paraId="6584E958">
      <w:pPr>
        <w:pStyle w:val="30"/>
        <w:tabs>
          <w:tab w:val="left" w:pos="9240"/>
        </w:tabs>
        <w:spacing w:beforeAutospacing="0" w:afterAutospacing="0"/>
        <w:ind w:right="176" w:rightChars="84"/>
        <w:jc w:val="both"/>
        <w:rPr>
          <w:color w:val="auto"/>
          <w:highlight w:val="none"/>
        </w:rPr>
      </w:pPr>
    </w:p>
    <w:p w14:paraId="3C360CD4">
      <w:pPr>
        <w:pStyle w:val="30"/>
        <w:tabs>
          <w:tab w:val="left" w:pos="9240"/>
        </w:tabs>
        <w:spacing w:beforeAutospacing="0" w:afterAutospacing="0"/>
        <w:ind w:right="176" w:rightChars="84"/>
        <w:jc w:val="both"/>
        <w:rPr>
          <w:color w:val="auto"/>
          <w:highlight w:val="none"/>
        </w:rPr>
      </w:pPr>
    </w:p>
    <w:p w14:paraId="1B3B91B5">
      <w:pPr>
        <w:pStyle w:val="30"/>
        <w:tabs>
          <w:tab w:val="left" w:pos="9240"/>
        </w:tabs>
        <w:spacing w:beforeAutospacing="0" w:afterAutospacing="0"/>
        <w:ind w:right="176" w:rightChars="84"/>
        <w:jc w:val="both"/>
        <w:rPr>
          <w:color w:val="auto"/>
          <w:highlight w:val="none"/>
        </w:rPr>
      </w:pPr>
    </w:p>
    <w:p w14:paraId="182ECCCE">
      <w:pPr>
        <w:pStyle w:val="30"/>
        <w:tabs>
          <w:tab w:val="left" w:pos="9240"/>
        </w:tabs>
        <w:spacing w:beforeAutospacing="0" w:afterAutospacing="0"/>
        <w:ind w:right="176" w:rightChars="84"/>
        <w:jc w:val="both"/>
        <w:rPr>
          <w:color w:val="auto"/>
          <w:highlight w:val="none"/>
        </w:rPr>
      </w:pPr>
    </w:p>
    <w:p w14:paraId="68E260CC">
      <w:pPr>
        <w:pStyle w:val="30"/>
        <w:tabs>
          <w:tab w:val="left" w:pos="9240"/>
        </w:tabs>
        <w:spacing w:beforeAutospacing="0" w:afterAutospacing="0"/>
        <w:ind w:right="176" w:rightChars="84"/>
        <w:jc w:val="both"/>
        <w:rPr>
          <w:color w:val="auto"/>
          <w:highlight w:val="none"/>
        </w:rPr>
      </w:pPr>
    </w:p>
    <w:p w14:paraId="110BC4A4">
      <w:pPr>
        <w:pStyle w:val="30"/>
        <w:tabs>
          <w:tab w:val="left" w:pos="9240"/>
        </w:tabs>
        <w:spacing w:beforeAutospacing="0" w:afterAutospacing="0"/>
        <w:ind w:right="176" w:rightChars="84"/>
        <w:jc w:val="both"/>
        <w:rPr>
          <w:color w:val="auto"/>
          <w:highlight w:val="none"/>
        </w:rPr>
      </w:pPr>
      <w:r>
        <w:rPr>
          <w:color w:val="auto"/>
          <w:highlight w:val="none"/>
        </w:rPr>
        <w:t> </w:t>
      </w:r>
    </w:p>
    <w:p w14:paraId="484B8868">
      <w:pPr>
        <w:pStyle w:val="30"/>
        <w:tabs>
          <w:tab w:val="left" w:pos="9240"/>
        </w:tabs>
        <w:spacing w:beforeAutospacing="0" w:afterAutospacing="0"/>
        <w:ind w:right="176" w:rightChars="84"/>
        <w:jc w:val="both"/>
        <w:rPr>
          <w:color w:val="auto"/>
          <w:highlight w:val="none"/>
        </w:rPr>
      </w:pPr>
    </w:p>
    <w:p w14:paraId="524D1D12">
      <w:pPr>
        <w:pStyle w:val="30"/>
        <w:tabs>
          <w:tab w:val="left" w:pos="9240"/>
        </w:tabs>
        <w:spacing w:beforeAutospacing="0" w:afterAutospacing="0"/>
        <w:ind w:right="176" w:rightChars="84"/>
        <w:jc w:val="both"/>
        <w:rPr>
          <w:color w:val="auto"/>
          <w:highlight w:val="none"/>
        </w:rPr>
      </w:pPr>
    </w:p>
    <w:p w14:paraId="6792C970">
      <w:pPr>
        <w:pStyle w:val="30"/>
        <w:tabs>
          <w:tab w:val="left" w:pos="9240"/>
        </w:tabs>
        <w:spacing w:beforeAutospacing="0" w:afterAutospacing="0"/>
        <w:ind w:right="176" w:rightChars="84"/>
        <w:jc w:val="both"/>
        <w:rPr>
          <w:color w:val="auto"/>
          <w:highlight w:val="none"/>
        </w:rPr>
      </w:pPr>
    </w:p>
    <w:p w14:paraId="0EA37E5D">
      <w:pPr>
        <w:pStyle w:val="30"/>
        <w:tabs>
          <w:tab w:val="left" w:pos="9240"/>
        </w:tabs>
        <w:spacing w:beforeAutospacing="0" w:afterAutospacing="0"/>
        <w:ind w:right="176" w:rightChars="84"/>
        <w:jc w:val="both"/>
        <w:rPr>
          <w:color w:val="auto"/>
          <w:highlight w:val="none"/>
        </w:rPr>
      </w:pPr>
    </w:p>
    <w:p w14:paraId="715D1DA7">
      <w:pPr>
        <w:pStyle w:val="30"/>
        <w:tabs>
          <w:tab w:val="left" w:pos="9240"/>
        </w:tabs>
        <w:spacing w:beforeAutospacing="0" w:afterAutospacing="0"/>
        <w:ind w:right="176" w:rightChars="84"/>
        <w:jc w:val="both"/>
        <w:rPr>
          <w:color w:val="auto"/>
          <w:highlight w:val="none"/>
        </w:rPr>
      </w:pPr>
    </w:p>
    <w:p w14:paraId="1E0BE8F8">
      <w:pPr>
        <w:pStyle w:val="30"/>
        <w:tabs>
          <w:tab w:val="left" w:pos="9240"/>
        </w:tabs>
        <w:spacing w:beforeAutospacing="0" w:afterAutospacing="0"/>
        <w:ind w:right="176" w:rightChars="84"/>
        <w:jc w:val="both"/>
        <w:rPr>
          <w:color w:val="auto"/>
          <w:highlight w:val="none"/>
        </w:rPr>
      </w:pPr>
    </w:p>
    <w:p w14:paraId="7EE9750E">
      <w:pPr>
        <w:pStyle w:val="30"/>
        <w:tabs>
          <w:tab w:val="left" w:pos="9240"/>
        </w:tabs>
        <w:spacing w:beforeAutospacing="0" w:afterAutospacing="0"/>
        <w:ind w:right="176" w:rightChars="84"/>
        <w:jc w:val="both"/>
        <w:rPr>
          <w:color w:val="auto"/>
          <w:highlight w:val="none"/>
        </w:rPr>
      </w:pPr>
    </w:p>
    <w:p w14:paraId="13B227BF">
      <w:pPr>
        <w:pStyle w:val="30"/>
        <w:tabs>
          <w:tab w:val="left" w:pos="9240"/>
        </w:tabs>
        <w:spacing w:beforeAutospacing="0" w:afterAutospacing="0"/>
        <w:ind w:right="176" w:rightChars="84" w:firstLine="643"/>
        <w:jc w:val="center"/>
        <w:rPr>
          <w:color w:val="auto"/>
          <w:highlight w:val="none"/>
        </w:rPr>
      </w:pPr>
      <w:r>
        <w:rPr>
          <w:rFonts w:hint="eastAsia" w:ascii="黑体" w:hAnsi="宋体" w:eastAsia="黑体" w:cs="黑体"/>
          <w:b/>
          <w:color w:val="auto"/>
          <w:sz w:val="32"/>
          <w:szCs w:val="32"/>
          <w:highlight w:val="none"/>
        </w:rPr>
        <w:t>十三、技术要求响应及偏离表</w:t>
      </w:r>
    </w:p>
    <w:tbl>
      <w:tblPr>
        <w:tblStyle w:val="32"/>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3026"/>
        <w:gridCol w:w="2608"/>
        <w:gridCol w:w="1247"/>
        <w:gridCol w:w="2328"/>
      </w:tblGrid>
      <w:tr w14:paraId="3FA2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0" w:type="dxa"/>
        </w:trPr>
        <w:tc>
          <w:tcPr>
            <w:tcW w:w="538" w:type="dxa"/>
            <w:shd w:val="clear" w:color="auto" w:fill="auto"/>
            <w:vAlign w:val="center"/>
          </w:tcPr>
          <w:p w14:paraId="7D1A12D6">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序号</w:t>
            </w:r>
          </w:p>
        </w:tc>
        <w:tc>
          <w:tcPr>
            <w:tcW w:w="3026" w:type="dxa"/>
            <w:shd w:val="clear" w:color="auto" w:fill="auto"/>
            <w:vAlign w:val="center"/>
          </w:tcPr>
          <w:p w14:paraId="3F6D4C4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招标文件要求</w:t>
            </w:r>
          </w:p>
        </w:tc>
        <w:tc>
          <w:tcPr>
            <w:tcW w:w="2608" w:type="dxa"/>
            <w:shd w:val="clear" w:color="auto" w:fill="auto"/>
            <w:vAlign w:val="center"/>
          </w:tcPr>
          <w:p w14:paraId="306A0A7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投标响应情况</w:t>
            </w:r>
          </w:p>
        </w:tc>
        <w:tc>
          <w:tcPr>
            <w:tcW w:w="1247" w:type="dxa"/>
            <w:shd w:val="clear" w:color="auto" w:fill="auto"/>
            <w:vAlign w:val="center"/>
          </w:tcPr>
          <w:p w14:paraId="055B8F95">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超出、符合或偏离</w:t>
            </w:r>
          </w:p>
        </w:tc>
        <w:tc>
          <w:tcPr>
            <w:tcW w:w="2328" w:type="dxa"/>
            <w:shd w:val="clear" w:color="auto" w:fill="auto"/>
            <w:vAlign w:val="center"/>
          </w:tcPr>
          <w:p w14:paraId="7E3D153D">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证明</w:t>
            </w:r>
          </w:p>
          <w:p w14:paraId="75662207">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材料</w:t>
            </w:r>
          </w:p>
        </w:tc>
      </w:tr>
      <w:tr w14:paraId="3D2F1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E4A1782">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60C7E939">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66E7F6BD">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473A34B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6BBE9AB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5A2E6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2CBAFBD5">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186BD37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216D4C3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29F590F5">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52C4173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6832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5A6C8C55">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20F37D4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3550262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039DB1D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4363D2E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248BC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06A16E1">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56501DB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3C05375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0B9F8642">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1555C19C">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18652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1D2A525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6E10D6C1">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5631175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4DB4ABE2">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5E2A1C9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74247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76717DA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137D1BC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24AB8E1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0FCA78B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3F641D0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383D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67DD60B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3D227A14">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489CBFD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6BDA882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3C966E4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48F2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5B075B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33DC0EFD">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w:t>
            </w:r>
          </w:p>
        </w:tc>
        <w:tc>
          <w:tcPr>
            <w:tcW w:w="2608" w:type="dxa"/>
            <w:shd w:val="clear" w:color="auto" w:fill="auto"/>
            <w:vAlign w:val="center"/>
          </w:tcPr>
          <w:p w14:paraId="6E4CDE32">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4742B136">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4EF5E97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bl>
    <w:p w14:paraId="5CE43BBE">
      <w:pPr>
        <w:pStyle w:val="30"/>
        <w:tabs>
          <w:tab w:val="left" w:pos="9240"/>
        </w:tabs>
        <w:spacing w:beforeAutospacing="0" w:afterAutospacing="0"/>
        <w:ind w:right="176" w:rightChars="84"/>
        <w:jc w:val="both"/>
        <w:rPr>
          <w:color w:val="auto"/>
          <w:highlight w:val="none"/>
        </w:rPr>
      </w:pPr>
      <w:r>
        <w:rPr>
          <w:rFonts w:hint="eastAsia" w:ascii="宋体" w:hAnsi="宋体" w:eastAsia="宋体" w:cs="宋体"/>
          <w:color w:val="auto"/>
          <w:highlight w:val="none"/>
        </w:rPr>
        <w:t>注： 行数不够，可自行添加。</w:t>
      </w:r>
    </w:p>
    <w:p w14:paraId="63A987CB">
      <w:pPr>
        <w:pStyle w:val="30"/>
        <w:tabs>
          <w:tab w:val="left" w:pos="9240"/>
        </w:tabs>
        <w:spacing w:beforeAutospacing="0" w:afterAutospacing="0"/>
        <w:ind w:right="176" w:rightChars="84"/>
        <w:jc w:val="center"/>
        <w:rPr>
          <w:color w:val="auto"/>
          <w:highlight w:val="none"/>
        </w:rPr>
      </w:pPr>
      <w:r>
        <w:rPr>
          <w:color w:val="auto"/>
          <w:highlight w:val="none"/>
        </w:rPr>
        <w:t> </w:t>
      </w:r>
    </w:p>
    <w:p w14:paraId="62A22FC3">
      <w:pPr>
        <w:pStyle w:val="30"/>
        <w:tabs>
          <w:tab w:val="left" w:pos="9240"/>
        </w:tabs>
        <w:spacing w:beforeAutospacing="0" w:afterAutospacing="0"/>
        <w:ind w:right="176" w:rightChars="84"/>
        <w:jc w:val="center"/>
        <w:rPr>
          <w:color w:val="auto"/>
          <w:highlight w:val="none"/>
        </w:rPr>
      </w:pPr>
      <w:r>
        <w:rPr>
          <w:color w:val="auto"/>
          <w:highlight w:val="none"/>
        </w:rPr>
        <w:t> </w:t>
      </w:r>
    </w:p>
    <w:p w14:paraId="6AEC17A5">
      <w:pPr>
        <w:pStyle w:val="30"/>
        <w:tabs>
          <w:tab w:val="left" w:pos="9240"/>
        </w:tabs>
        <w:spacing w:beforeAutospacing="0" w:afterAutospacing="0"/>
        <w:ind w:right="176" w:rightChars="84"/>
        <w:jc w:val="center"/>
        <w:rPr>
          <w:color w:val="auto"/>
          <w:highlight w:val="none"/>
        </w:rPr>
      </w:pPr>
      <w:r>
        <w:rPr>
          <w:color w:val="auto"/>
          <w:highlight w:val="none"/>
        </w:rPr>
        <w:t> </w:t>
      </w:r>
    </w:p>
    <w:p w14:paraId="5D880551">
      <w:pPr>
        <w:pStyle w:val="30"/>
        <w:tabs>
          <w:tab w:val="left" w:pos="9240"/>
        </w:tabs>
        <w:spacing w:beforeAutospacing="0" w:afterAutospacing="0"/>
        <w:ind w:right="176" w:rightChars="84"/>
        <w:jc w:val="center"/>
        <w:rPr>
          <w:color w:val="auto"/>
          <w:highlight w:val="none"/>
        </w:rPr>
      </w:pPr>
      <w:r>
        <w:rPr>
          <w:color w:val="auto"/>
          <w:highlight w:val="none"/>
        </w:rPr>
        <w:t> </w:t>
      </w:r>
    </w:p>
    <w:p w14:paraId="0D101F69">
      <w:pPr>
        <w:pStyle w:val="30"/>
        <w:tabs>
          <w:tab w:val="left" w:pos="9240"/>
        </w:tabs>
        <w:spacing w:beforeAutospacing="0" w:afterAutospacing="0"/>
        <w:ind w:right="176" w:rightChars="84"/>
        <w:jc w:val="both"/>
        <w:rPr>
          <w:color w:val="auto"/>
          <w:highlight w:val="none"/>
        </w:rPr>
      </w:pPr>
      <w:r>
        <w:rPr>
          <w:color w:val="auto"/>
          <w:highlight w:val="none"/>
        </w:rPr>
        <w:t> </w:t>
      </w:r>
    </w:p>
    <w:p w14:paraId="417BCCE7">
      <w:pPr>
        <w:pStyle w:val="30"/>
        <w:tabs>
          <w:tab w:val="left" w:pos="9240"/>
        </w:tabs>
        <w:spacing w:beforeAutospacing="0" w:afterAutospacing="0"/>
        <w:ind w:right="176" w:rightChars="84"/>
        <w:jc w:val="both"/>
        <w:rPr>
          <w:color w:val="auto"/>
          <w:highlight w:val="none"/>
        </w:rPr>
      </w:pPr>
      <w:r>
        <w:rPr>
          <w:color w:val="auto"/>
          <w:highlight w:val="none"/>
        </w:rPr>
        <w:t> </w:t>
      </w:r>
    </w:p>
    <w:p w14:paraId="76E76FD2">
      <w:pPr>
        <w:pStyle w:val="30"/>
        <w:tabs>
          <w:tab w:val="left" w:pos="9240"/>
        </w:tabs>
        <w:spacing w:beforeAutospacing="0" w:afterAutospacing="0"/>
        <w:ind w:right="176" w:rightChars="84"/>
        <w:jc w:val="both"/>
        <w:rPr>
          <w:color w:val="auto"/>
          <w:highlight w:val="none"/>
        </w:rPr>
      </w:pPr>
      <w:r>
        <w:rPr>
          <w:color w:val="auto"/>
          <w:highlight w:val="none"/>
        </w:rPr>
        <w:t> </w:t>
      </w:r>
    </w:p>
    <w:p w14:paraId="0632BEFC">
      <w:pPr>
        <w:pStyle w:val="30"/>
        <w:tabs>
          <w:tab w:val="left" w:pos="9240"/>
        </w:tabs>
        <w:spacing w:beforeAutospacing="0" w:afterAutospacing="0"/>
        <w:ind w:right="176" w:rightChars="84"/>
        <w:jc w:val="both"/>
        <w:rPr>
          <w:color w:val="auto"/>
          <w:highlight w:val="none"/>
        </w:rPr>
      </w:pPr>
      <w:r>
        <w:rPr>
          <w:color w:val="auto"/>
          <w:highlight w:val="none"/>
        </w:rPr>
        <w:t> </w:t>
      </w:r>
    </w:p>
    <w:p w14:paraId="73FD15C3">
      <w:pPr>
        <w:pStyle w:val="30"/>
        <w:tabs>
          <w:tab w:val="left" w:pos="9240"/>
        </w:tabs>
        <w:spacing w:beforeAutospacing="0" w:afterAutospacing="0"/>
        <w:ind w:right="176" w:rightChars="84"/>
        <w:jc w:val="both"/>
        <w:rPr>
          <w:color w:val="auto"/>
          <w:highlight w:val="none"/>
        </w:rPr>
      </w:pPr>
      <w:r>
        <w:rPr>
          <w:color w:val="auto"/>
          <w:highlight w:val="none"/>
        </w:rPr>
        <w:t> </w:t>
      </w:r>
    </w:p>
    <w:p w14:paraId="4E2A8784">
      <w:pPr>
        <w:pStyle w:val="30"/>
        <w:tabs>
          <w:tab w:val="left" w:pos="9240"/>
        </w:tabs>
        <w:spacing w:beforeAutospacing="0" w:afterAutospacing="0"/>
        <w:ind w:right="176" w:rightChars="84"/>
        <w:jc w:val="both"/>
        <w:rPr>
          <w:color w:val="auto"/>
          <w:highlight w:val="none"/>
        </w:rPr>
      </w:pPr>
    </w:p>
    <w:p w14:paraId="49F3A1A2">
      <w:pPr>
        <w:pStyle w:val="30"/>
        <w:tabs>
          <w:tab w:val="left" w:pos="9240"/>
        </w:tabs>
        <w:spacing w:beforeAutospacing="0" w:afterAutospacing="0"/>
        <w:ind w:right="176" w:rightChars="84"/>
        <w:jc w:val="both"/>
        <w:rPr>
          <w:color w:val="auto"/>
          <w:highlight w:val="none"/>
        </w:rPr>
      </w:pPr>
    </w:p>
    <w:p w14:paraId="4EB9D037">
      <w:pPr>
        <w:pStyle w:val="30"/>
        <w:tabs>
          <w:tab w:val="left" w:pos="9240"/>
        </w:tabs>
        <w:spacing w:beforeAutospacing="0" w:afterAutospacing="0"/>
        <w:ind w:right="176" w:rightChars="84"/>
        <w:jc w:val="both"/>
        <w:rPr>
          <w:color w:val="auto"/>
          <w:highlight w:val="none"/>
        </w:rPr>
      </w:pPr>
    </w:p>
    <w:p w14:paraId="5B7CF5A3">
      <w:pPr>
        <w:pStyle w:val="30"/>
        <w:tabs>
          <w:tab w:val="left" w:pos="9240"/>
        </w:tabs>
        <w:spacing w:beforeAutospacing="0" w:afterAutospacing="0"/>
        <w:ind w:right="176" w:rightChars="84"/>
        <w:jc w:val="both"/>
        <w:rPr>
          <w:color w:val="auto"/>
          <w:highlight w:val="none"/>
        </w:rPr>
      </w:pPr>
    </w:p>
    <w:p w14:paraId="333D4972">
      <w:pPr>
        <w:pStyle w:val="30"/>
        <w:tabs>
          <w:tab w:val="left" w:pos="9240"/>
        </w:tabs>
        <w:spacing w:beforeAutospacing="0" w:afterAutospacing="0"/>
        <w:ind w:right="176" w:rightChars="84"/>
        <w:jc w:val="both"/>
        <w:rPr>
          <w:color w:val="auto"/>
          <w:highlight w:val="none"/>
        </w:rPr>
      </w:pPr>
    </w:p>
    <w:p w14:paraId="359AF446">
      <w:pPr>
        <w:pStyle w:val="30"/>
        <w:tabs>
          <w:tab w:val="left" w:pos="9240"/>
        </w:tabs>
        <w:spacing w:beforeAutospacing="0" w:afterAutospacing="0"/>
        <w:ind w:right="176" w:rightChars="84"/>
        <w:jc w:val="both"/>
        <w:rPr>
          <w:color w:val="auto"/>
          <w:highlight w:val="none"/>
        </w:rPr>
      </w:pPr>
    </w:p>
    <w:p w14:paraId="1F1C662A">
      <w:pPr>
        <w:pStyle w:val="30"/>
        <w:tabs>
          <w:tab w:val="left" w:pos="9240"/>
        </w:tabs>
        <w:spacing w:beforeAutospacing="0" w:afterAutospacing="0"/>
        <w:ind w:right="176" w:rightChars="84"/>
        <w:jc w:val="both"/>
        <w:rPr>
          <w:color w:val="auto"/>
          <w:highlight w:val="none"/>
        </w:rPr>
      </w:pPr>
    </w:p>
    <w:p w14:paraId="2BA0DA0C">
      <w:pPr>
        <w:pStyle w:val="30"/>
        <w:tabs>
          <w:tab w:val="left" w:pos="9240"/>
        </w:tabs>
        <w:spacing w:beforeAutospacing="0" w:afterAutospacing="0"/>
        <w:ind w:right="176" w:rightChars="84"/>
        <w:jc w:val="both"/>
        <w:rPr>
          <w:color w:val="auto"/>
          <w:highlight w:val="none"/>
        </w:rPr>
      </w:pPr>
    </w:p>
    <w:p w14:paraId="66005A1F">
      <w:pPr>
        <w:pStyle w:val="30"/>
        <w:tabs>
          <w:tab w:val="left" w:pos="9240"/>
        </w:tabs>
        <w:spacing w:beforeAutospacing="0" w:afterAutospacing="0"/>
        <w:ind w:right="176" w:rightChars="84"/>
        <w:jc w:val="both"/>
        <w:rPr>
          <w:color w:val="auto"/>
          <w:highlight w:val="none"/>
        </w:rPr>
      </w:pPr>
    </w:p>
    <w:p w14:paraId="6FD8CC36">
      <w:pPr>
        <w:pStyle w:val="30"/>
        <w:tabs>
          <w:tab w:val="left" w:pos="9240"/>
        </w:tabs>
        <w:spacing w:beforeAutospacing="0" w:afterAutospacing="0"/>
        <w:ind w:right="176" w:rightChars="84"/>
        <w:jc w:val="both"/>
        <w:rPr>
          <w:color w:val="auto"/>
          <w:highlight w:val="none"/>
        </w:rPr>
      </w:pPr>
    </w:p>
    <w:p w14:paraId="1C95627F">
      <w:pPr>
        <w:pStyle w:val="30"/>
        <w:tabs>
          <w:tab w:val="left" w:pos="9240"/>
        </w:tabs>
        <w:spacing w:beforeAutospacing="0" w:afterAutospacing="0"/>
        <w:ind w:right="176" w:rightChars="84"/>
        <w:jc w:val="both"/>
        <w:rPr>
          <w:color w:val="auto"/>
          <w:highlight w:val="none"/>
        </w:rPr>
      </w:pPr>
      <w:r>
        <w:rPr>
          <w:color w:val="auto"/>
          <w:highlight w:val="none"/>
        </w:rPr>
        <w:t> </w:t>
      </w:r>
    </w:p>
    <w:p w14:paraId="2E0B7DAF">
      <w:pPr>
        <w:pStyle w:val="30"/>
        <w:tabs>
          <w:tab w:val="left" w:pos="9240"/>
        </w:tabs>
        <w:spacing w:beforeAutospacing="0" w:afterAutospacing="0"/>
        <w:ind w:right="176" w:rightChars="84"/>
        <w:jc w:val="both"/>
        <w:rPr>
          <w:color w:val="auto"/>
          <w:highlight w:val="none"/>
        </w:rPr>
      </w:pPr>
      <w:r>
        <w:rPr>
          <w:color w:val="auto"/>
          <w:highlight w:val="none"/>
        </w:rPr>
        <w:t> </w:t>
      </w:r>
    </w:p>
    <w:p w14:paraId="78295D11">
      <w:pPr>
        <w:pStyle w:val="30"/>
        <w:tabs>
          <w:tab w:val="left" w:pos="9240"/>
        </w:tabs>
        <w:spacing w:beforeAutospacing="0" w:afterAutospacing="0"/>
        <w:ind w:right="176" w:rightChars="84"/>
        <w:jc w:val="both"/>
        <w:rPr>
          <w:color w:val="auto"/>
          <w:highlight w:val="none"/>
        </w:rPr>
      </w:pPr>
      <w:r>
        <w:rPr>
          <w:color w:val="auto"/>
          <w:highlight w:val="none"/>
        </w:rPr>
        <w:t> </w:t>
      </w:r>
    </w:p>
    <w:p w14:paraId="57AAF521">
      <w:pPr>
        <w:pStyle w:val="30"/>
        <w:tabs>
          <w:tab w:val="left" w:pos="9240"/>
        </w:tabs>
        <w:spacing w:beforeAutospacing="0" w:afterAutospacing="0"/>
        <w:ind w:right="176" w:rightChars="84" w:firstLine="643"/>
        <w:jc w:val="center"/>
        <w:rPr>
          <w:color w:val="auto"/>
          <w:highlight w:val="none"/>
        </w:rPr>
      </w:pPr>
      <w:bookmarkStart w:id="445" w:name="_Hlt26955054"/>
      <w:r>
        <w:rPr>
          <w:rFonts w:hint="eastAsia" w:ascii="黑体" w:hAnsi="宋体" w:eastAsia="黑体" w:cs="黑体"/>
          <w:b/>
          <w:color w:val="auto"/>
          <w:sz w:val="32"/>
          <w:szCs w:val="32"/>
          <w:highlight w:val="none"/>
        </w:rPr>
        <w:t>十四、商务要求响应及偏离表</w:t>
      </w:r>
    </w:p>
    <w:tbl>
      <w:tblPr>
        <w:tblStyle w:val="32"/>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3026"/>
        <w:gridCol w:w="2608"/>
        <w:gridCol w:w="1247"/>
        <w:gridCol w:w="2328"/>
      </w:tblGrid>
      <w:tr w14:paraId="58E2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538" w:type="dxa"/>
            <w:shd w:val="clear" w:color="auto" w:fill="auto"/>
            <w:vAlign w:val="center"/>
          </w:tcPr>
          <w:p w14:paraId="37D1B70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bookmarkStart w:id="446" w:name="_Hlt24879081"/>
            <w:bookmarkStart w:id="447" w:name="_Hlt26671372"/>
            <w:bookmarkStart w:id="448" w:name="_Hlt26955064"/>
            <w:bookmarkStart w:id="449" w:name="_Hlt26671343"/>
            <w:bookmarkStart w:id="450" w:name="_Hlt26782999"/>
            <w:bookmarkStart w:id="451" w:name="_Hlt26609391"/>
            <w:bookmarkStart w:id="452" w:name="_Hlt26580838"/>
            <w:bookmarkStart w:id="453" w:name="_Hlt26955056"/>
            <w:r>
              <w:rPr>
                <w:rFonts w:hint="eastAsia" w:ascii="宋体" w:hAnsi="宋体" w:eastAsia="宋体" w:cs="宋体"/>
                <w:color w:val="auto"/>
                <w:highlight w:val="none"/>
              </w:rPr>
              <w:t>序号</w:t>
            </w:r>
            <w:bookmarkEnd w:id="446"/>
            <w:bookmarkEnd w:id="447"/>
            <w:bookmarkEnd w:id="448"/>
            <w:bookmarkEnd w:id="449"/>
            <w:bookmarkEnd w:id="450"/>
            <w:bookmarkEnd w:id="451"/>
            <w:bookmarkEnd w:id="452"/>
            <w:bookmarkEnd w:id="453"/>
          </w:p>
        </w:tc>
        <w:tc>
          <w:tcPr>
            <w:tcW w:w="3026" w:type="dxa"/>
            <w:shd w:val="clear" w:color="auto" w:fill="auto"/>
            <w:vAlign w:val="center"/>
          </w:tcPr>
          <w:p w14:paraId="04732E6D">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招标文件要求</w:t>
            </w:r>
          </w:p>
        </w:tc>
        <w:tc>
          <w:tcPr>
            <w:tcW w:w="2608" w:type="dxa"/>
            <w:shd w:val="clear" w:color="auto" w:fill="auto"/>
            <w:vAlign w:val="center"/>
          </w:tcPr>
          <w:p w14:paraId="4AD29D36">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投标响应情况</w:t>
            </w:r>
          </w:p>
        </w:tc>
        <w:tc>
          <w:tcPr>
            <w:tcW w:w="1247" w:type="dxa"/>
            <w:shd w:val="clear" w:color="auto" w:fill="auto"/>
            <w:vAlign w:val="center"/>
          </w:tcPr>
          <w:p w14:paraId="06C3197C">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超出、符合或偏离</w:t>
            </w:r>
          </w:p>
        </w:tc>
        <w:tc>
          <w:tcPr>
            <w:tcW w:w="2328" w:type="dxa"/>
            <w:shd w:val="clear" w:color="auto" w:fill="auto"/>
            <w:vAlign w:val="center"/>
          </w:tcPr>
          <w:p w14:paraId="758F572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证明</w:t>
            </w:r>
          </w:p>
          <w:p w14:paraId="7091EFB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材料</w:t>
            </w:r>
          </w:p>
        </w:tc>
      </w:tr>
      <w:tr w14:paraId="38F5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0C73A886">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594DED8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61000A2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68C36DF3">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3657D214">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4893A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780C338A">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626DCAD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08C96017">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586C22D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0D611DE9">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19B7C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6A4BD6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164E9A9C">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0104508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6F32D4E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5BC2010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1632B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3A435DB6">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5E80F947">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780AE404">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3C5D48AD">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41F7E744">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5AA9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530763A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464CE234">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56AD7AC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1CC60DAD">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6F8BCE5A">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0E43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0CEC3D94">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6A62ED3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010EC918">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72581E3A">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16B03CD5">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1B97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1297529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3126096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608" w:type="dxa"/>
            <w:shd w:val="clear" w:color="auto" w:fill="auto"/>
            <w:vAlign w:val="center"/>
          </w:tcPr>
          <w:p w14:paraId="14358C7A">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203FCD97">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1D6F3C1C">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r w14:paraId="74CA6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shd w:val="clear" w:color="auto" w:fill="auto"/>
            <w:vAlign w:val="center"/>
          </w:tcPr>
          <w:p w14:paraId="4F0EB710">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3026" w:type="dxa"/>
            <w:shd w:val="clear" w:color="auto" w:fill="auto"/>
            <w:vAlign w:val="center"/>
          </w:tcPr>
          <w:p w14:paraId="11885B1F">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eastAsia" w:ascii="宋体" w:hAnsi="宋体" w:eastAsia="宋体" w:cs="宋体"/>
                <w:color w:val="auto"/>
                <w:highlight w:val="none"/>
              </w:rPr>
              <w:t>……</w:t>
            </w:r>
          </w:p>
        </w:tc>
        <w:tc>
          <w:tcPr>
            <w:tcW w:w="2608" w:type="dxa"/>
            <w:shd w:val="clear" w:color="auto" w:fill="auto"/>
            <w:vAlign w:val="center"/>
          </w:tcPr>
          <w:p w14:paraId="180C34AE">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1247" w:type="dxa"/>
            <w:shd w:val="clear" w:color="auto" w:fill="auto"/>
            <w:vAlign w:val="center"/>
          </w:tcPr>
          <w:p w14:paraId="780FB8DB">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c>
          <w:tcPr>
            <w:tcW w:w="2328" w:type="dxa"/>
            <w:shd w:val="clear" w:color="auto" w:fill="auto"/>
            <w:vAlign w:val="center"/>
          </w:tcPr>
          <w:p w14:paraId="1D3FAF37">
            <w:pPr>
              <w:pStyle w:val="30"/>
              <w:keepNext w:val="0"/>
              <w:keepLines w:val="0"/>
              <w:suppressLineNumbers w:val="0"/>
              <w:tabs>
                <w:tab w:val="left" w:pos="9240"/>
              </w:tabs>
              <w:spacing w:before="0" w:beforeAutospacing="0" w:after="0" w:afterAutospacing="0"/>
              <w:ind w:left="0" w:right="176" w:rightChars="84"/>
              <w:jc w:val="center"/>
              <w:rPr>
                <w:rFonts w:hint="default"/>
                <w:color w:val="auto"/>
                <w:highlight w:val="none"/>
              </w:rPr>
            </w:pPr>
            <w:r>
              <w:rPr>
                <w:rFonts w:hint="default"/>
                <w:color w:val="auto"/>
                <w:highlight w:val="none"/>
              </w:rPr>
              <w:t> </w:t>
            </w:r>
          </w:p>
        </w:tc>
      </w:tr>
    </w:tbl>
    <w:p w14:paraId="24185730">
      <w:pPr>
        <w:pStyle w:val="30"/>
        <w:tabs>
          <w:tab w:val="left" w:pos="9240"/>
        </w:tabs>
        <w:spacing w:beforeAutospacing="0" w:afterAutospacing="0"/>
        <w:ind w:right="176" w:rightChars="84"/>
        <w:jc w:val="both"/>
        <w:rPr>
          <w:color w:val="auto"/>
          <w:highlight w:val="none"/>
        </w:rPr>
      </w:pPr>
      <w:r>
        <w:rPr>
          <w:rFonts w:hint="eastAsia" w:ascii="宋体" w:hAnsi="宋体" w:eastAsia="宋体" w:cs="宋体"/>
          <w:color w:val="auto"/>
          <w:highlight w:val="none"/>
        </w:rPr>
        <w:t>注： 行数不够，可自行添加。</w:t>
      </w:r>
    </w:p>
    <w:p w14:paraId="6E84587C">
      <w:pPr>
        <w:pStyle w:val="30"/>
        <w:tabs>
          <w:tab w:val="left" w:pos="9240"/>
        </w:tabs>
        <w:spacing w:beforeAutospacing="0" w:afterAutospacing="0" w:line="480" w:lineRule="auto"/>
        <w:ind w:right="176" w:rightChars="84"/>
        <w:jc w:val="both"/>
        <w:rPr>
          <w:color w:val="auto"/>
          <w:highlight w:val="none"/>
        </w:rPr>
      </w:pPr>
      <w:r>
        <w:rPr>
          <w:color w:val="auto"/>
          <w:highlight w:val="none"/>
        </w:rPr>
        <w:t> </w:t>
      </w:r>
    </w:p>
    <w:p w14:paraId="138BDF81">
      <w:pPr>
        <w:pStyle w:val="30"/>
        <w:tabs>
          <w:tab w:val="left" w:pos="9240"/>
        </w:tabs>
        <w:spacing w:beforeAutospacing="0" w:afterAutospacing="0" w:line="480" w:lineRule="auto"/>
        <w:ind w:right="176" w:rightChars="84"/>
        <w:jc w:val="both"/>
        <w:rPr>
          <w:color w:val="auto"/>
          <w:highlight w:val="none"/>
        </w:rPr>
      </w:pPr>
      <w:r>
        <w:rPr>
          <w:color w:val="auto"/>
          <w:highlight w:val="none"/>
        </w:rPr>
        <w:t> </w:t>
      </w:r>
    </w:p>
    <w:p w14:paraId="781BFE9F">
      <w:pPr>
        <w:pStyle w:val="30"/>
        <w:tabs>
          <w:tab w:val="left" w:pos="9240"/>
        </w:tabs>
        <w:spacing w:beforeAutospacing="0" w:afterAutospacing="0"/>
        <w:ind w:right="176" w:rightChars="84"/>
        <w:jc w:val="center"/>
        <w:rPr>
          <w:color w:val="auto"/>
          <w:highlight w:val="none"/>
        </w:rPr>
      </w:pPr>
      <w:bookmarkStart w:id="454" w:name="_Hlt26671374"/>
      <w:bookmarkStart w:id="455" w:name="_Hlt26955066"/>
      <w:bookmarkStart w:id="456" w:name="_Hlt26609389"/>
      <w:bookmarkStart w:id="457" w:name="_格式2__法定代表人授权书"/>
      <w:bookmarkStart w:id="458" w:name="_Toc462564146"/>
      <w:r>
        <w:rPr>
          <w:color w:val="auto"/>
          <w:highlight w:val="none"/>
        </w:rPr>
        <w:t> </w:t>
      </w:r>
    </w:p>
    <w:p w14:paraId="187492CE">
      <w:pPr>
        <w:pStyle w:val="30"/>
        <w:tabs>
          <w:tab w:val="left" w:pos="9240"/>
        </w:tabs>
        <w:spacing w:beforeAutospacing="0" w:afterAutospacing="0"/>
        <w:ind w:right="176" w:rightChars="84"/>
        <w:jc w:val="center"/>
        <w:rPr>
          <w:color w:val="auto"/>
          <w:highlight w:val="none"/>
        </w:rPr>
      </w:pPr>
      <w:r>
        <w:rPr>
          <w:color w:val="auto"/>
          <w:highlight w:val="none"/>
        </w:rPr>
        <w:t> </w:t>
      </w:r>
    </w:p>
    <w:p w14:paraId="51562718">
      <w:pPr>
        <w:pStyle w:val="30"/>
        <w:tabs>
          <w:tab w:val="left" w:pos="9240"/>
        </w:tabs>
        <w:spacing w:beforeAutospacing="0" w:afterAutospacing="0"/>
        <w:ind w:right="176" w:rightChars="84"/>
        <w:jc w:val="center"/>
        <w:rPr>
          <w:color w:val="auto"/>
          <w:highlight w:val="none"/>
        </w:rPr>
      </w:pPr>
      <w:r>
        <w:rPr>
          <w:color w:val="auto"/>
          <w:highlight w:val="none"/>
        </w:rPr>
        <w:t> </w:t>
      </w:r>
    </w:p>
    <w:p w14:paraId="4849F849">
      <w:pPr>
        <w:pStyle w:val="30"/>
        <w:tabs>
          <w:tab w:val="left" w:pos="9240"/>
        </w:tabs>
        <w:spacing w:beforeAutospacing="0" w:afterAutospacing="0"/>
        <w:ind w:right="176" w:rightChars="84"/>
        <w:jc w:val="center"/>
        <w:rPr>
          <w:color w:val="auto"/>
          <w:highlight w:val="none"/>
        </w:rPr>
      </w:pPr>
      <w:r>
        <w:rPr>
          <w:color w:val="auto"/>
          <w:highlight w:val="none"/>
        </w:rPr>
        <w:t> </w:t>
      </w:r>
    </w:p>
    <w:p w14:paraId="43D5BDEF">
      <w:pPr>
        <w:pStyle w:val="30"/>
        <w:tabs>
          <w:tab w:val="left" w:pos="9240"/>
        </w:tabs>
        <w:spacing w:beforeAutospacing="0" w:afterAutospacing="0"/>
        <w:ind w:right="176" w:rightChars="84"/>
        <w:jc w:val="center"/>
        <w:rPr>
          <w:color w:val="auto"/>
          <w:highlight w:val="none"/>
        </w:rPr>
      </w:pPr>
      <w:r>
        <w:rPr>
          <w:color w:val="auto"/>
          <w:highlight w:val="none"/>
        </w:rPr>
        <w:t> </w:t>
      </w:r>
    </w:p>
    <w:p w14:paraId="2FC1B1BD">
      <w:pPr>
        <w:pStyle w:val="30"/>
        <w:tabs>
          <w:tab w:val="left" w:pos="9240"/>
        </w:tabs>
        <w:spacing w:beforeAutospacing="0" w:afterAutospacing="0"/>
        <w:ind w:right="176" w:rightChars="84"/>
        <w:jc w:val="center"/>
        <w:rPr>
          <w:color w:val="auto"/>
          <w:highlight w:val="none"/>
        </w:rPr>
      </w:pPr>
      <w:r>
        <w:rPr>
          <w:color w:val="auto"/>
          <w:highlight w:val="none"/>
        </w:rPr>
        <w:t> </w:t>
      </w:r>
    </w:p>
    <w:p w14:paraId="21DBC45B">
      <w:pPr>
        <w:pStyle w:val="30"/>
        <w:tabs>
          <w:tab w:val="left" w:pos="9240"/>
        </w:tabs>
        <w:spacing w:beforeAutospacing="0" w:afterAutospacing="0"/>
        <w:ind w:right="176" w:rightChars="84"/>
        <w:jc w:val="center"/>
        <w:rPr>
          <w:color w:val="auto"/>
          <w:highlight w:val="none"/>
        </w:rPr>
      </w:pPr>
    </w:p>
    <w:p w14:paraId="5BFC4BA9">
      <w:pPr>
        <w:pStyle w:val="30"/>
        <w:tabs>
          <w:tab w:val="left" w:pos="9240"/>
        </w:tabs>
        <w:spacing w:beforeAutospacing="0" w:afterAutospacing="0"/>
        <w:ind w:right="176" w:rightChars="84"/>
        <w:jc w:val="center"/>
        <w:rPr>
          <w:color w:val="auto"/>
          <w:highlight w:val="none"/>
        </w:rPr>
      </w:pPr>
    </w:p>
    <w:p w14:paraId="7D01445F">
      <w:pPr>
        <w:pStyle w:val="30"/>
        <w:tabs>
          <w:tab w:val="left" w:pos="9240"/>
        </w:tabs>
        <w:spacing w:beforeAutospacing="0" w:afterAutospacing="0"/>
        <w:ind w:right="176" w:rightChars="84"/>
        <w:jc w:val="center"/>
        <w:rPr>
          <w:color w:val="auto"/>
          <w:highlight w:val="none"/>
        </w:rPr>
      </w:pPr>
    </w:p>
    <w:p w14:paraId="75A36790">
      <w:pPr>
        <w:pStyle w:val="30"/>
        <w:tabs>
          <w:tab w:val="left" w:pos="9240"/>
        </w:tabs>
        <w:spacing w:beforeAutospacing="0" w:afterAutospacing="0"/>
        <w:ind w:right="176" w:rightChars="84"/>
        <w:jc w:val="center"/>
        <w:rPr>
          <w:color w:val="auto"/>
          <w:highlight w:val="none"/>
        </w:rPr>
      </w:pPr>
    </w:p>
    <w:p w14:paraId="50662CDA">
      <w:pPr>
        <w:pStyle w:val="30"/>
        <w:tabs>
          <w:tab w:val="left" w:pos="9240"/>
        </w:tabs>
        <w:spacing w:beforeAutospacing="0" w:afterAutospacing="0"/>
        <w:ind w:right="176" w:rightChars="84"/>
        <w:jc w:val="center"/>
        <w:rPr>
          <w:color w:val="auto"/>
          <w:highlight w:val="none"/>
        </w:rPr>
      </w:pPr>
    </w:p>
    <w:p w14:paraId="0CB5D019">
      <w:pPr>
        <w:pStyle w:val="30"/>
        <w:tabs>
          <w:tab w:val="left" w:pos="9240"/>
        </w:tabs>
        <w:spacing w:beforeAutospacing="0" w:afterAutospacing="0"/>
        <w:ind w:right="176" w:rightChars="84"/>
        <w:jc w:val="center"/>
        <w:rPr>
          <w:color w:val="auto"/>
          <w:highlight w:val="none"/>
        </w:rPr>
      </w:pPr>
    </w:p>
    <w:p w14:paraId="4FC6DCE4">
      <w:pPr>
        <w:pStyle w:val="30"/>
        <w:tabs>
          <w:tab w:val="left" w:pos="9240"/>
        </w:tabs>
        <w:spacing w:beforeAutospacing="0" w:afterAutospacing="0"/>
        <w:ind w:right="176" w:rightChars="84"/>
        <w:jc w:val="center"/>
        <w:rPr>
          <w:color w:val="auto"/>
          <w:highlight w:val="none"/>
        </w:rPr>
      </w:pPr>
    </w:p>
    <w:p w14:paraId="4D06BC82">
      <w:pPr>
        <w:pStyle w:val="30"/>
        <w:tabs>
          <w:tab w:val="left" w:pos="9240"/>
        </w:tabs>
        <w:spacing w:beforeAutospacing="0" w:afterAutospacing="0"/>
        <w:ind w:right="176" w:rightChars="84"/>
        <w:jc w:val="center"/>
        <w:rPr>
          <w:color w:val="auto"/>
          <w:highlight w:val="none"/>
        </w:rPr>
      </w:pPr>
    </w:p>
    <w:p w14:paraId="4BAC25DB">
      <w:pPr>
        <w:pStyle w:val="30"/>
        <w:tabs>
          <w:tab w:val="left" w:pos="9240"/>
        </w:tabs>
        <w:spacing w:beforeAutospacing="0" w:afterAutospacing="0"/>
        <w:ind w:right="176" w:rightChars="84"/>
        <w:jc w:val="center"/>
        <w:rPr>
          <w:color w:val="auto"/>
          <w:highlight w:val="none"/>
        </w:rPr>
      </w:pPr>
    </w:p>
    <w:p w14:paraId="7E3F30E6">
      <w:pPr>
        <w:pStyle w:val="30"/>
        <w:tabs>
          <w:tab w:val="left" w:pos="9240"/>
        </w:tabs>
        <w:spacing w:beforeAutospacing="0" w:afterAutospacing="0"/>
        <w:ind w:right="176" w:rightChars="84"/>
        <w:jc w:val="center"/>
        <w:rPr>
          <w:color w:val="auto"/>
          <w:highlight w:val="none"/>
        </w:rPr>
      </w:pPr>
      <w:r>
        <w:rPr>
          <w:color w:val="auto"/>
          <w:highlight w:val="none"/>
        </w:rPr>
        <w:t> </w:t>
      </w:r>
    </w:p>
    <w:p w14:paraId="79D21273">
      <w:pPr>
        <w:pStyle w:val="30"/>
        <w:tabs>
          <w:tab w:val="left" w:pos="9240"/>
        </w:tabs>
        <w:spacing w:beforeAutospacing="0" w:afterAutospacing="0"/>
        <w:ind w:right="176" w:rightChars="84"/>
        <w:jc w:val="center"/>
        <w:rPr>
          <w:color w:val="auto"/>
          <w:highlight w:val="none"/>
        </w:rPr>
      </w:pPr>
      <w:r>
        <w:rPr>
          <w:color w:val="auto"/>
          <w:highlight w:val="none"/>
        </w:rPr>
        <w:t> </w:t>
      </w:r>
    </w:p>
    <w:p w14:paraId="1AC419F6">
      <w:pPr>
        <w:pStyle w:val="30"/>
        <w:tabs>
          <w:tab w:val="left" w:pos="9240"/>
        </w:tabs>
        <w:spacing w:beforeAutospacing="0" w:afterAutospacing="0"/>
        <w:ind w:right="176" w:rightChars="84"/>
        <w:jc w:val="center"/>
        <w:rPr>
          <w:color w:val="auto"/>
          <w:highlight w:val="none"/>
        </w:rPr>
      </w:pPr>
      <w:r>
        <w:rPr>
          <w:color w:val="auto"/>
          <w:highlight w:val="none"/>
        </w:rPr>
        <w:t> </w:t>
      </w:r>
    </w:p>
    <w:p w14:paraId="30680787">
      <w:pPr>
        <w:pStyle w:val="30"/>
        <w:tabs>
          <w:tab w:val="left" w:pos="9240"/>
        </w:tabs>
        <w:spacing w:beforeAutospacing="0" w:afterAutospacing="0"/>
        <w:ind w:right="176" w:rightChars="84"/>
        <w:jc w:val="center"/>
        <w:rPr>
          <w:color w:val="auto"/>
          <w:highlight w:val="none"/>
        </w:rPr>
      </w:pPr>
    </w:p>
    <w:p w14:paraId="2FA25F49">
      <w:pPr>
        <w:pStyle w:val="30"/>
        <w:tabs>
          <w:tab w:val="left" w:pos="9240"/>
        </w:tabs>
        <w:spacing w:beforeAutospacing="0" w:afterAutospacing="0"/>
        <w:ind w:right="176" w:rightChars="84"/>
        <w:jc w:val="center"/>
        <w:rPr>
          <w:color w:val="auto"/>
          <w:highlight w:val="none"/>
        </w:rPr>
      </w:pPr>
    </w:p>
    <w:p w14:paraId="2193086C">
      <w:pPr>
        <w:pStyle w:val="30"/>
        <w:tabs>
          <w:tab w:val="left" w:pos="9240"/>
        </w:tabs>
        <w:spacing w:beforeAutospacing="0" w:afterAutospacing="0"/>
        <w:ind w:right="176" w:rightChars="84" w:firstLine="643"/>
        <w:jc w:val="center"/>
        <w:rPr>
          <w:rFonts w:hint="eastAsia" w:ascii="黑体" w:hAnsi="宋体" w:eastAsia="黑体" w:cs="黑体"/>
          <w:b/>
          <w:i/>
          <w:color w:val="auto"/>
          <w:sz w:val="32"/>
          <w:szCs w:val="32"/>
          <w:highlight w:val="none"/>
          <w:u w:val="single"/>
          <w:lang w:val="en-US" w:eastAsia="zh-CN"/>
        </w:rPr>
      </w:pPr>
      <w:r>
        <w:rPr>
          <w:rFonts w:hint="eastAsia" w:ascii="黑体" w:hAnsi="宋体" w:eastAsia="黑体" w:cs="黑体"/>
          <w:b/>
          <w:i/>
          <w:color w:val="auto"/>
          <w:sz w:val="32"/>
          <w:szCs w:val="32"/>
          <w:highlight w:val="none"/>
          <w:u w:val="single"/>
        </w:rPr>
        <w:t>十五、</w:t>
      </w:r>
      <w:r>
        <w:rPr>
          <w:rFonts w:hint="eastAsia" w:ascii="黑体" w:hAnsi="宋体" w:eastAsia="黑体" w:cs="黑体"/>
          <w:b/>
          <w:i/>
          <w:color w:val="auto"/>
          <w:sz w:val="32"/>
          <w:szCs w:val="32"/>
          <w:highlight w:val="none"/>
          <w:u w:val="single"/>
          <w:lang w:val="en-US" w:eastAsia="zh-CN"/>
        </w:rPr>
        <w:t>开标一览表 （总价）</w:t>
      </w:r>
    </w:p>
    <w:p w14:paraId="23A65E1D">
      <w:pPr>
        <w:pStyle w:val="30"/>
        <w:tabs>
          <w:tab w:val="left" w:pos="9240"/>
        </w:tabs>
        <w:spacing w:beforeAutospacing="0" w:afterAutospacing="0"/>
        <w:ind w:right="176" w:rightChars="84" w:firstLine="643"/>
        <w:jc w:val="center"/>
        <w:rPr>
          <w:color w:val="auto"/>
          <w:highlight w:val="none"/>
        </w:rPr>
      </w:pPr>
    </w:p>
    <w:p w14:paraId="6580E8B0">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0"/>
        <w:jc w:val="center"/>
        <w:rPr>
          <w:rFonts w:hint="default" w:ascii="Calibri" w:hAnsi="Calibri" w:eastAsia="Arial" w:cs="Times New Roman"/>
        </w:rPr>
      </w:pPr>
      <w:r>
        <w:rPr>
          <w:rFonts w:hint="default" w:ascii="宋体" w:hAnsi="宋体" w:eastAsia="宋体" w:cs="宋体"/>
          <w:b/>
          <w:color w:val="000000"/>
          <w:sz w:val="21"/>
        </w:rPr>
        <w:t xml:space="preserve"> </w:t>
      </w:r>
    </w:p>
    <w:p w14:paraId="7EE143CA">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210"/>
        <w:rPr>
          <w:rFonts w:hint="default" w:ascii="宋体" w:hAnsi="宋体" w:eastAsia="宋体" w:cs="宋体"/>
          <w:color w:val="000000"/>
          <w:sz w:val="21"/>
        </w:rPr>
      </w:pPr>
      <w:r>
        <w:rPr>
          <w:rFonts w:hint="default" w:ascii="宋体" w:hAnsi="宋体" w:eastAsia="宋体" w:cs="宋体"/>
          <w:color w:val="000000"/>
          <w:sz w:val="21"/>
        </w:rPr>
        <w:t>投标人全称（CA公章）： 供应商名称</w:t>
      </w:r>
    </w:p>
    <w:p w14:paraId="1D934A05">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210"/>
        <w:rPr>
          <w:rFonts w:hint="default" w:ascii="宋体" w:hAnsi="宋体" w:eastAsia="宋体" w:cs="宋体"/>
          <w:color w:val="000000"/>
          <w:sz w:val="21"/>
        </w:rPr>
      </w:pPr>
      <w:r>
        <w:rPr>
          <w:rFonts w:hint="default" w:ascii="宋体" w:hAnsi="宋体" w:eastAsia="宋体" w:cs="宋体"/>
          <w:color w:val="000000"/>
          <w:sz w:val="21"/>
        </w:rPr>
        <w:t>项目名称：</w:t>
      </w:r>
    </w:p>
    <w:p w14:paraId="5AF015E4">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210"/>
        <w:rPr>
          <w:rFonts w:hint="eastAsia" w:ascii="宋体" w:hAnsi="宋体" w:eastAsia="宋体" w:cs="宋体"/>
          <w:color w:val="000000"/>
          <w:sz w:val="21"/>
          <w:lang w:eastAsia="zh-CN"/>
        </w:rPr>
      </w:pPr>
      <w:r>
        <w:rPr>
          <w:rFonts w:hint="default" w:ascii="宋体" w:hAnsi="宋体" w:eastAsia="宋体" w:cs="宋体"/>
          <w:color w:val="000000"/>
          <w:sz w:val="21"/>
        </w:rPr>
        <w:t>项目编号</w:t>
      </w:r>
      <w:r>
        <w:rPr>
          <w:rFonts w:hint="eastAsia" w:ascii="宋体" w:hAnsi="宋体" w:eastAsia="宋体" w:cs="宋体"/>
          <w:color w:val="000000"/>
          <w:sz w:val="21"/>
          <w:lang w:eastAsia="zh-CN"/>
        </w:rPr>
        <w:t>：</w:t>
      </w:r>
    </w:p>
    <w:p w14:paraId="305A9DA6">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210"/>
        <w:rPr>
          <w:rFonts w:hint="eastAsia" w:ascii="宋体" w:hAnsi="宋体" w:eastAsia="宋体" w:cs="宋体"/>
          <w:color w:val="000000"/>
          <w:sz w:val="21"/>
          <w:lang w:eastAsia="zh-CN"/>
        </w:rPr>
      </w:pPr>
      <w:r>
        <w:rPr>
          <w:rFonts w:hint="default" w:ascii="宋体" w:hAnsi="宋体" w:eastAsia="宋体" w:cs="宋体"/>
          <w:color w:val="000000"/>
          <w:sz w:val="21"/>
        </w:rPr>
        <w:t>分包号</w:t>
      </w:r>
      <w:r>
        <w:rPr>
          <w:rFonts w:hint="eastAsia" w:ascii="宋体" w:hAnsi="宋体" w:eastAsia="宋体" w:cs="宋体"/>
          <w:color w:val="000000"/>
          <w:sz w:val="21"/>
          <w:lang w:eastAsia="zh-CN"/>
        </w:rPr>
        <w:t>：</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84DE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7F73CC7A">
            <w:pPr>
              <w:keepNext w:val="0"/>
              <w:keepLines w:val="0"/>
              <w:suppressLineNumbers w:val="0"/>
              <w:tabs>
                <w:tab w:val="left" w:pos="9240"/>
              </w:tabs>
              <w:spacing w:before="240" w:beforeAutospacing="0" w:after="240" w:afterAutospacing="0" w:line="85" w:lineRule="atLeast"/>
              <w:ind w:left="0" w:right="176" w:rightChars="84"/>
              <w:rPr>
                <w:rFonts w:hint="eastAsia" w:ascii="宋体" w:hAnsi="宋体" w:eastAsia="宋体" w:cs="宋体"/>
                <w:color w:val="000000"/>
                <w:sz w:val="21"/>
                <w:vertAlign w:val="baseline"/>
                <w:lang w:eastAsia="zh-CN"/>
              </w:rPr>
            </w:pPr>
            <w:r>
              <w:rPr>
                <w:rFonts w:hint="default" w:ascii="宋体" w:hAnsi="宋体" w:eastAsia="宋体" w:cs="宋体"/>
                <w:sz w:val="24"/>
                <w:szCs w:val="24"/>
              </w:rPr>
              <w:t>投标货物名称</w:t>
            </w:r>
            <w:r>
              <w:rPr>
                <w:rFonts w:hint="eastAsia" w:ascii="宋体" w:hAnsi="宋体" w:eastAsia="宋体" w:cs="宋体"/>
                <w:sz w:val="24"/>
                <w:szCs w:val="24"/>
                <w:lang w:eastAsia="zh-CN"/>
              </w:rPr>
              <w:t>：</w:t>
            </w:r>
          </w:p>
        </w:tc>
        <w:tc>
          <w:tcPr>
            <w:tcW w:w="4261" w:type="dxa"/>
          </w:tcPr>
          <w:p w14:paraId="2EA6F5EC">
            <w:pPr>
              <w:keepNext w:val="0"/>
              <w:keepLines w:val="0"/>
              <w:suppressLineNumbers w:val="0"/>
              <w:tabs>
                <w:tab w:val="left" w:pos="9240"/>
              </w:tabs>
              <w:spacing w:before="240" w:beforeAutospacing="0" w:after="240" w:afterAutospacing="0" w:line="85" w:lineRule="atLeast"/>
              <w:ind w:left="0" w:right="176" w:rightChars="84"/>
              <w:rPr>
                <w:rFonts w:hint="eastAsia" w:ascii="宋体" w:hAnsi="宋体" w:eastAsia="宋体" w:cs="宋体"/>
                <w:color w:val="000000"/>
                <w:sz w:val="21"/>
                <w:vertAlign w:val="baseline"/>
                <w:lang w:eastAsia="zh-CN"/>
              </w:rPr>
            </w:pPr>
            <w:r>
              <w:rPr>
                <w:rFonts w:hint="eastAsia" w:ascii="宋体" w:hAnsi="宋体" w:eastAsia="宋体" w:cs="宋体"/>
                <w:color w:val="000000"/>
                <w:sz w:val="21"/>
                <w:vertAlign w:val="baseline"/>
                <w:lang w:eastAsia="zh-CN"/>
              </w:rPr>
              <w:t>总价（小写）</w:t>
            </w:r>
          </w:p>
        </w:tc>
      </w:tr>
      <w:tr w14:paraId="35D1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796434B7">
            <w:pPr>
              <w:keepNext w:val="0"/>
              <w:keepLines w:val="0"/>
              <w:suppressLineNumbers w:val="0"/>
              <w:tabs>
                <w:tab w:val="left" w:pos="9240"/>
              </w:tabs>
              <w:spacing w:before="240" w:beforeAutospacing="0" w:after="240" w:afterAutospacing="0" w:line="85" w:lineRule="atLeast"/>
              <w:ind w:left="0" w:right="176" w:rightChars="84"/>
              <w:rPr>
                <w:rFonts w:hint="eastAsia" w:ascii="宋体" w:hAnsi="宋体" w:eastAsia="宋体" w:cs="宋体"/>
                <w:color w:val="000000"/>
                <w:sz w:val="21"/>
                <w:vertAlign w:val="baseline"/>
                <w:lang w:eastAsia="zh-CN"/>
              </w:rPr>
            </w:pPr>
            <w:r>
              <w:rPr>
                <w:rFonts w:hint="default" w:ascii="宋体" w:hAnsi="宋体" w:eastAsia="宋体" w:cs="宋体"/>
                <w:sz w:val="24"/>
                <w:szCs w:val="24"/>
              </w:rPr>
              <w:t>投标产品名称</w:t>
            </w:r>
            <w:r>
              <w:rPr>
                <w:rFonts w:hint="eastAsia" w:ascii="宋体" w:hAnsi="宋体" w:eastAsia="宋体" w:cs="宋体"/>
                <w:sz w:val="24"/>
                <w:szCs w:val="24"/>
                <w:lang w:eastAsia="zh-CN"/>
              </w:rPr>
              <w:t>：</w:t>
            </w:r>
          </w:p>
        </w:tc>
        <w:tc>
          <w:tcPr>
            <w:tcW w:w="4261" w:type="dxa"/>
          </w:tcPr>
          <w:p w14:paraId="36152215">
            <w:pPr>
              <w:keepNext w:val="0"/>
              <w:keepLines w:val="0"/>
              <w:suppressLineNumbers w:val="0"/>
              <w:tabs>
                <w:tab w:val="left" w:pos="9240"/>
              </w:tabs>
              <w:spacing w:before="240" w:beforeAutospacing="0" w:after="240" w:afterAutospacing="0" w:line="85" w:lineRule="atLeast"/>
              <w:ind w:left="0" w:right="176" w:rightChars="84"/>
              <w:rPr>
                <w:rFonts w:hint="default" w:ascii="宋体" w:hAnsi="宋体" w:eastAsia="宋体" w:cs="宋体"/>
                <w:color w:val="000000"/>
                <w:sz w:val="21"/>
                <w:u w:val="single"/>
                <w:vertAlign w:val="baseline"/>
                <w:lang w:val="en-US" w:eastAsia="zh-CN"/>
              </w:rPr>
            </w:pPr>
            <w:r>
              <w:rPr>
                <w:rFonts w:hint="eastAsia" w:ascii="宋体" w:hAnsi="宋体" w:eastAsia="宋体" w:cs="宋体"/>
                <w:color w:val="000000"/>
                <w:sz w:val="21"/>
                <w:u w:val="single"/>
                <w:vertAlign w:val="baseline"/>
                <w:lang w:val="en-US" w:eastAsia="zh-CN"/>
              </w:rPr>
              <w:t xml:space="preserve">                          </w:t>
            </w:r>
            <w:r>
              <w:rPr>
                <w:rFonts w:hint="eastAsia" w:ascii="宋体" w:hAnsi="宋体" w:eastAsia="宋体" w:cs="宋体"/>
                <w:color w:val="000000"/>
                <w:sz w:val="21"/>
                <w:u w:val="none"/>
                <w:vertAlign w:val="baseline"/>
                <w:lang w:val="en-US" w:eastAsia="zh-CN"/>
              </w:rPr>
              <w:t>元</w:t>
            </w:r>
          </w:p>
        </w:tc>
      </w:tr>
      <w:tr w14:paraId="0C64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4B451E42">
            <w:pPr>
              <w:keepNext w:val="0"/>
              <w:keepLines w:val="0"/>
              <w:suppressLineNumbers w:val="0"/>
              <w:tabs>
                <w:tab w:val="left" w:pos="9240"/>
              </w:tabs>
              <w:spacing w:before="240" w:beforeAutospacing="0" w:after="240" w:afterAutospacing="0" w:line="85" w:lineRule="atLeast"/>
              <w:ind w:left="0" w:right="176" w:rightChars="84"/>
              <w:rPr>
                <w:rFonts w:hint="eastAsia" w:ascii="宋体" w:hAnsi="宋体" w:eastAsia="宋体" w:cs="宋体"/>
                <w:color w:val="000000"/>
                <w:sz w:val="21"/>
                <w:vertAlign w:val="baseline"/>
                <w:lang w:eastAsia="zh-CN"/>
              </w:rPr>
            </w:pPr>
            <w:r>
              <w:rPr>
                <w:rFonts w:hint="default" w:ascii="宋体" w:hAnsi="宋体" w:eastAsia="宋体" w:cs="宋体"/>
                <w:sz w:val="24"/>
                <w:szCs w:val="24"/>
              </w:rPr>
              <w:t>核心产品品牌：</w:t>
            </w:r>
          </w:p>
        </w:tc>
        <w:tc>
          <w:tcPr>
            <w:tcW w:w="4261" w:type="dxa"/>
          </w:tcPr>
          <w:p w14:paraId="637EBE23">
            <w:pPr>
              <w:keepNext w:val="0"/>
              <w:keepLines w:val="0"/>
              <w:suppressLineNumbers w:val="0"/>
              <w:tabs>
                <w:tab w:val="left" w:pos="9240"/>
              </w:tabs>
              <w:spacing w:before="240" w:beforeAutospacing="0" w:after="240" w:afterAutospacing="0" w:line="85" w:lineRule="atLeast"/>
              <w:ind w:left="0" w:right="176" w:rightChars="84"/>
              <w:rPr>
                <w:rFonts w:hint="eastAsia" w:ascii="宋体" w:hAnsi="宋体" w:eastAsia="宋体" w:cs="宋体"/>
                <w:color w:val="000000"/>
                <w:sz w:val="21"/>
                <w:vertAlign w:val="baseline"/>
                <w:lang w:eastAsia="zh-CN"/>
              </w:rPr>
            </w:pPr>
          </w:p>
        </w:tc>
      </w:tr>
    </w:tbl>
    <w:p w14:paraId="3EEE80AB">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210"/>
        <w:rPr>
          <w:rFonts w:hint="eastAsia" w:ascii="宋体" w:hAnsi="宋体" w:eastAsia="宋体" w:cs="宋体"/>
          <w:color w:val="000000"/>
          <w:sz w:val="21"/>
          <w:lang w:eastAsia="zh-CN"/>
        </w:rPr>
      </w:pPr>
    </w:p>
    <w:p w14:paraId="5643618A">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0"/>
        <w:jc w:val="both"/>
        <w:rPr>
          <w:rFonts w:hint="default" w:ascii="Calibri" w:hAnsi="Calibri" w:eastAsia="Arial" w:cs="Times New Roman"/>
        </w:rPr>
      </w:pPr>
      <w:r>
        <w:rPr>
          <w:rFonts w:hint="default" w:ascii="宋体" w:hAnsi="宋体" w:eastAsia="宋体" w:cs="宋体"/>
          <w:color w:val="000000"/>
          <w:sz w:val="21"/>
        </w:rPr>
        <w:t> </w:t>
      </w:r>
    </w:p>
    <w:p w14:paraId="78A4AFC0">
      <w:pPr>
        <w:pBdr>
          <w:top w:val="none" w:color="000000" w:sz="0" w:space="0"/>
          <w:left w:val="none" w:color="000000" w:sz="0" w:space="0"/>
          <w:bottom w:val="none" w:color="000000" w:sz="0" w:space="0"/>
          <w:right w:val="none" w:color="000000" w:sz="0" w:space="0"/>
        </w:pBdr>
        <w:tabs>
          <w:tab w:val="left" w:pos="9240"/>
        </w:tabs>
        <w:spacing w:before="240" w:after="240" w:line="85" w:lineRule="atLeast"/>
        <w:ind w:left="0" w:right="176" w:rightChars="84" w:firstLine="480"/>
        <w:jc w:val="right"/>
        <w:rPr>
          <w:rFonts w:hint="default" w:ascii="Calibri" w:hAnsi="Calibri" w:eastAsia="Arial" w:cs="Times New Roman"/>
        </w:rPr>
      </w:pPr>
      <w:r>
        <w:rPr>
          <w:rFonts w:hint="default" w:ascii="宋体" w:hAnsi="宋体" w:eastAsia="宋体" w:cs="宋体"/>
          <w:color w:val="000000"/>
          <w:sz w:val="21"/>
        </w:rPr>
        <w:t xml:space="preserve">                                              日期：  </w:t>
      </w:r>
      <w:r>
        <w:rPr>
          <w:rFonts w:hint="default" w:ascii="宋体" w:hAnsi="宋体" w:eastAsia="宋体" w:cs="宋体"/>
          <w:color w:val="000000"/>
          <w:sz w:val="21"/>
          <w:u w:val="single"/>
        </w:rPr>
        <w:t xml:space="preserve">     </w:t>
      </w:r>
      <w:r>
        <w:rPr>
          <w:rFonts w:hint="default" w:ascii="宋体" w:hAnsi="宋体" w:eastAsia="宋体" w:cs="宋体"/>
          <w:color w:val="000000"/>
          <w:sz w:val="21"/>
        </w:rPr>
        <w:t>年</w:t>
      </w:r>
      <w:r>
        <w:rPr>
          <w:rFonts w:hint="default" w:ascii="宋体" w:hAnsi="宋体" w:eastAsia="宋体" w:cs="宋体"/>
          <w:color w:val="000000"/>
          <w:sz w:val="21"/>
          <w:u w:val="single"/>
        </w:rPr>
        <w:t xml:space="preserve">   </w:t>
      </w:r>
      <w:r>
        <w:rPr>
          <w:rFonts w:hint="default" w:ascii="宋体" w:hAnsi="宋体" w:eastAsia="宋体" w:cs="宋体"/>
          <w:color w:val="000000"/>
          <w:sz w:val="21"/>
        </w:rPr>
        <w:t>月</w:t>
      </w:r>
      <w:r>
        <w:rPr>
          <w:rFonts w:hint="default" w:ascii="宋体" w:hAnsi="宋体" w:eastAsia="宋体" w:cs="宋体"/>
          <w:color w:val="000000"/>
          <w:sz w:val="21"/>
          <w:u w:val="single"/>
        </w:rPr>
        <w:t xml:space="preserve">   </w:t>
      </w:r>
      <w:r>
        <w:rPr>
          <w:rFonts w:hint="default" w:ascii="宋体" w:hAnsi="宋体" w:eastAsia="宋体" w:cs="宋体"/>
          <w:color w:val="000000"/>
          <w:sz w:val="21"/>
        </w:rPr>
        <w:t>日</w:t>
      </w:r>
    </w:p>
    <w:p w14:paraId="4EF9807E">
      <w:pPr>
        <w:pStyle w:val="30"/>
        <w:tabs>
          <w:tab w:val="left" w:pos="9240"/>
        </w:tabs>
        <w:spacing w:beforeAutospacing="0" w:afterAutospacing="0"/>
        <w:ind w:right="176" w:rightChars="84"/>
        <w:jc w:val="both"/>
        <w:rPr>
          <w:color w:val="auto"/>
          <w:highlight w:val="none"/>
        </w:rPr>
      </w:pPr>
      <w:r>
        <w:rPr>
          <w:color w:val="auto"/>
          <w:highlight w:val="none"/>
        </w:rPr>
        <w:t> </w:t>
      </w:r>
    </w:p>
    <w:p w14:paraId="7B44A2B8">
      <w:pPr>
        <w:pStyle w:val="30"/>
        <w:tabs>
          <w:tab w:val="left" w:pos="9240"/>
        </w:tabs>
        <w:spacing w:beforeAutospacing="0" w:afterAutospacing="0"/>
        <w:ind w:right="176" w:rightChars="84"/>
        <w:jc w:val="center"/>
        <w:rPr>
          <w:color w:val="auto"/>
          <w:highlight w:val="none"/>
        </w:rPr>
      </w:pPr>
      <w:r>
        <w:rPr>
          <w:color w:val="auto"/>
          <w:highlight w:val="none"/>
        </w:rPr>
        <w:t> </w:t>
      </w:r>
    </w:p>
    <w:p w14:paraId="01FCC423">
      <w:pPr>
        <w:pStyle w:val="30"/>
        <w:tabs>
          <w:tab w:val="left" w:pos="9240"/>
        </w:tabs>
        <w:spacing w:beforeAutospacing="0" w:afterAutospacing="0"/>
        <w:ind w:right="176" w:rightChars="84"/>
        <w:jc w:val="both"/>
        <w:rPr>
          <w:color w:val="auto"/>
          <w:highlight w:val="none"/>
        </w:rPr>
      </w:pPr>
      <w:r>
        <w:rPr>
          <w:color w:val="auto"/>
          <w:highlight w:val="none"/>
        </w:rPr>
        <w:t> </w:t>
      </w:r>
    </w:p>
    <w:p w14:paraId="5C8025BD">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76CBA700">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4FFDBDDE">
      <w:pPr>
        <w:widowControl/>
        <w:tabs>
          <w:tab w:val="left" w:pos="9240"/>
        </w:tabs>
        <w:ind w:right="176" w:rightChars="84"/>
        <w:jc w:val="left"/>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p>
    <w:p w14:paraId="11927A1F">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5F0661E7">
      <w:pPr>
        <w:widowControl/>
        <w:tabs>
          <w:tab w:val="left" w:pos="9240"/>
        </w:tabs>
        <w:ind w:right="176" w:rightChars="84"/>
        <w:jc w:val="center"/>
        <w:rPr>
          <w:rFonts w:ascii="宋体" w:hAnsi="宋体" w:eastAsia="宋体" w:cs="宋体"/>
          <w:b/>
          <w:color w:val="auto"/>
          <w:sz w:val="24"/>
          <w:highlight w:val="none"/>
        </w:rPr>
      </w:pPr>
      <w:r>
        <w:rPr>
          <w:color w:val="auto"/>
          <w:highlight w:val="none"/>
        </w:rPr>
        <w:tab/>
      </w:r>
      <w:r>
        <w:rPr>
          <w:rFonts w:hint="eastAsia" w:ascii="宋体" w:hAnsi="宋体" w:eastAsia="宋体" w:cs="宋体"/>
          <w:b/>
          <w:color w:val="auto"/>
          <w:sz w:val="32"/>
          <w:szCs w:val="32"/>
          <w:highlight w:val="none"/>
        </w:rPr>
        <w:t>十六、技术方案、服务承诺、培训承诺等</w:t>
      </w:r>
    </w:p>
    <w:p w14:paraId="2E1CC970">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244751F3">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131A8284">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68B5B251">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0BD9EA02">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010400E8">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3125ABBD">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3827FCB4">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5FB50620">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56638802">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43C05BED">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6837D7C9">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06B75D18">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4EF9BEE5">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19D55772">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7C54A12A">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34B60975">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5F54C6BE">
      <w:pPr>
        <w:pStyle w:val="30"/>
        <w:tabs>
          <w:tab w:val="left" w:pos="9240"/>
        </w:tabs>
        <w:spacing w:beforeAutospacing="0" w:afterAutospacing="0"/>
        <w:ind w:right="176" w:rightChars="84" w:firstLine="643"/>
        <w:jc w:val="center"/>
        <w:rPr>
          <w:rFonts w:ascii="宋体" w:hAnsi="宋体" w:eastAsia="宋体" w:cs="宋体"/>
          <w:b/>
          <w:color w:val="auto"/>
          <w:sz w:val="32"/>
          <w:szCs w:val="32"/>
          <w:highlight w:val="none"/>
        </w:rPr>
      </w:pPr>
    </w:p>
    <w:p w14:paraId="054A42F5">
      <w:pPr>
        <w:widowControl/>
        <w:tabs>
          <w:tab w:val="left" w:pos="9240"/>
        </w:tabs>
        <w:ind w:right="176" w:rightChars="84"/>
        <w:jc w:val="left"/>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p>
    <w:p w14:paraId="51284531">
      <w:pPr>
        <w:tabs>
          <w:tab w:val="left" w:pos="9240"/>
        </w:tabs>
        <w:ind w:right="176" w:rightChars="84"/>
        <w:jc w:val="center"/>
        <w:rPr>
          <w:rFonts w:ascii="宋体" w:hAnsi="宋体" w:eastAsia="宋体" w:cs="Times New Roman"/>
          <w:b/>
          <w:color w:val="auto"/>
          <w:sz w:val="32"/>
          <w:szCs w:val="32"/>
          <w:highlight w:val="none"/>
        </w:rPr>
      </w:pPr>
      <w:r>
        <w:rPr>
          <w:rFonts w:hint="eastAsia" w:ascii="宋体" w:hAnsi="宋体" w:eastAsia="宋体" w:cs="宋体"/>
          <w:b/>
          <w:bCs/>
          <w:color w:val="auto"/>
          <w:sz w:val="32"/>
          <w:szCs w:val="32"/>
          <w:highlight w:val="none"/>
        </w:rPr>
        <w:t>十七、</w:t>
      </w:r>
      <w:r>
        <w:rPr>
          <w:rFonts w:hint="eastAsia" w:ascii="宋体" w:hAnsi="宋体" w:eastAsia="宋体" w:cs="宋体"/>
          <w:b/>
          <w:bCs/>
          <w:color w:val="auto"/>
          <w:sz w:val="32"/>
          <w:szCs w:val="32"/>
          <w:highlight w:val="none"/>
          <w:lang w:eastAsia="zh-CN"/>
        </w:rPr>
        <w:t>盐城市大丰区政府采购事前信用承诺书</w:t>
      </w:r>
    </w:p>
    <w:p w14:paraId="6E7B2817">
      <w:pPr>
        <w:tabs>
          <w:tab w:val="left" w:pos="9240"/>
        </w:tabs>
        <w:spacing w:line="400" w:lineRule="exact"/>
        <w:ind w:right="176" w:rightChars="84"/>
        <w:rPr>
          <w:rFonts w:ascii="Times New Roman" w:hAnsi="Times New Roman" w:eastAsia="宋体" w:cs="Times New Roman"/>
          <w:color w:val="auto"/>
          <w:sz w:val="30"/>
          <w:szCs w:val="30"/>
          <w:highlight w:val="none"/>
        </w:rPr>
      </w:pPr>
    </w:p>
    <w:p w14:paraId="0223722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5E918DAC">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987DD4B">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964D141">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78F03D33">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（四）严格遵守即时信息公示规定，及时维护和更新维护和更新盐城市政府采购网中与本单位相关的信息；</w:t>
      </w:r>
    </w:p>
    <w:p w14:paraId="6E918DE1">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480533CB">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771DB2B2">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69A177B">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1FF5AFF1">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71F57C1C">
      <w:pPr>
        <w:widowControl/>
        <w:spacing w:line="499" w:lineRule="atLeast"/>
        <w:jc w:val="left"/>
        <w:rPr>
          <w:rFonts w:hint="eastAsia" w:ascii="宋体" w:hAnsi="宋体" w:eastAsia="宋体" w:cs="宋体"/>
          <w:color w:val="auto"/>
          <w:sz w:val="24"/>
          <w:highlight w:val="none"/>
        </w:rPr>
      </w:pPr>
    </w:p>
    <w:p w14:paraId="45D6A507">
      <w:pPr>
        <w:widowControl/>
        <w:spacing w:line="499" w:lineRule="atLeast"/>
        <w:ind w:firstLine="5760" w:firstLineChars="2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szCs w:val="24"/>
          <w:highlight w:val="none"/>
        </w:rPr>
        <w:t>法定代表人（或者负责人）</w:t>
      </w:r>
      <w:r>
        <w:rPr>
          <w:rFonts w:hint="eastAsia" w:ascii="宋体" w:hAnsi="宋体" w:eastAsia="宋体" w:cs="宋体"/>
          <w:color w:val="auto"/>
          <w:sz w:val="24"/>
          <w:highlight w:val="none"/>
        </w:rPr>
        <w:t>签名：</w:t>
      </w:r>
    </w:p>
    <w:p w14:paraId="4CCF5BC5">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23F3F5A8">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p w14:paraId="0FB1B089">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bookmarkEnd w:id="6"/>
    <w:bookmarkEnd w:id="46"/>
    <w:bookmarkEnd w:id="93"/>
    <w:bookmarkEnd w:id="94"/>
    <w:bookmarkEnd w:id="95"/>
    <w:bookmarkEnd w:id="96"/>
    <w:bookmarkEnd w:id="97"/>
    <w:bookmarkEnd w:id="98"/>
    <w:bookmarkEnd w:id="99"/>
    <w:bookmarkEnd w:id="100"/>
    <w:bookmarkEnd w:id="109"/>
    <w:bookmarkEnd w:id="110"/>
    <w:bookmarkEnd w:id="117"/>
    <w:bookmarkEnd w:id="164"/>
    <w:bookmarkEnd w:id="171"/>
    <w:bookmarkEnd w:id="436"/>
    <w:bookmarkEnd w:id="437"/>
    <w:bookmarkEnd w:id="438"/>
    <w:bookmarkEnd w:id="441"/>
    <w:bookmarkEnd w:id="442"/>
    <w:bookmarkEnd w:id="443"/>
    <w:bookmarkEnd w:id="444"/>
    <w:bookmarkEnd w:id="445"/>
    <w:bookmarkEnd w:id="454"/>
    <w:bookmarkEnd w:id="455"/>
    <w:bookmarkEnd w:id="456"/>
    <w:bookmarkEnd w:id="457"/>
    <w:bookmarkEnd w:id="458"/>
    <w:p w14:paraId="7FCB68AE">
      <w:pPr>
        <w:widowControl w:val="0"/>
        <w:spacing w:beforeAutospacing="0" w:afterAutospacing="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质疑函范本</w:t>
      </w:r>
    </w:p>
    <w:p w14:paraId="3566189D">
      <w:pPr>
        <w:keepNext w:val="0"/>
        <w:keepLines w:val="0"/>
        <w:pageBreakBefore w:val="0"/>
        <w:widowControl w:val="0"/>
        <w:kinsoku/>
        <w:wordWrap/>
        <w:overflowPunct/>
        <w:topLinePunct w:val="0"/>
        <w:autoSpaceDE/>
        <w:autoSpaceDN/>
        <w:bidi w:val="0"/>
        <w:adjustRightInd/>
        <w:snapToGrid/>
        <w:spacing w:before="290"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一、质疑供应商基本信息</w:t>
      </w:r>
    </w:p>
    <w:p w14:paraId="43755D8A">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质疑供应商：</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7EB4D331">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w:t>
      </w:r>
    </w:p>
    <w:p w14:paraId="1BFF9464">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邮编：</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043AF47E">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联系人：</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2621D828">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r>
        <w:rPr>
          <w:rFonts w:hint="eastAsia" w:ascii="宋体" w:hAnsi="宋体" w:eastAsia="宋体" w:cs="宋体"/>
          <w:color w:val="auto"/>
          <w:sz w:val="24"/>
          <w:szCs w:val="24"/>
          <w:highlight w:val="none"/>
          <w:u w:val="single"/>
          <w:lang w:val="en-US" w:eastAsia="zh-CN" w:bidi="ar-SA"/>
        </w:rPr>
        <w:t xml:space="preserve">                                           </w:t>
      </w:r>
    </w:p>
    <w:p w14:paraId="264D015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授权代表：</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428300C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联系电话：</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41C3551F">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地址： </w:t>
      </w:r>
      <w:r>
        <w:rPr>
          <w:rFonts w:hint="eastAsia" w:ascii="宋体" w:hAnsi="宋体" w:eastAsia="宋体" w:cs="宋体"/>
          <w:color w:val="auto"/>
          <w:sz w:val="24"/>
          <w:szCs w:val="24"/>
          <w:highlight w:val="none"/>
          <w:u w:val="single"/>
          <w:lang w:val="en-US" w:eastAsia="zh-CN" w:bidi="ar-SA"/>
        </w:rPr>
        <w:t>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28E4E1B1">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邮编：</w:t>
      </w:r>
      <w:r>
        <w:rPr>
          <w:rFonts w:hint="eastAsia" w:ascii="宋体" w:hAnsi="宋体" w:eastAsia="宋体" w:cs="宋体"/>
          <w:color w:val="auto"/>
          <w:sz w:val="24"/>
          <w:szCs w:val="24"/>
          <w:highlight w:val="none"/>
          <w:u w:val="single"/>
          <w:lang w:val="en-US" w:eastAsia="zh-CN" w:bidi="ar-SA"/>
        </w:rPr>
        <w:t xml:space="preserve">                                </w:t>
      </w:r>
    </w:p>
    <w:p w14:paraId="4E3F3B91">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二、质疑项目基本情况</w:t>
      </w:r>
    </w:p>
    <w:p w14:paraId="3BCFEFB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质疑项目的名称：</w:t>
      </w:r>
      <w:r>
        <w:rPr>
          <w:rFonts w:hint="eastAsia" w:ascii="宋体" w:hAnsi="宋体" w:eastAsia="宋体" w:cs="宋体"/>
          <w:color w:val="auto"/>
          <w:sz w:val="24"/>
          <w:szCs w:val="24"/>
          <w:highlight w:val="none"/>
          <w:u w:val="single"/>
          <w:lang w:val="en-US" w:eastAsia="zh-CN" w:bidi="ar-SA"/>
        </w:rPr>
        <w:t xml:space="preserve">                            </w:t>
      </w:r>
    </w:p>
    <w:p w14:paraId="31EEC86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质疑项目的编号：</w:t>
      </w:r>
      <w:r>
        <w:rPr>
          <w:rFonts w:hint="eastAsia" w:ascii="宋体" w:hAnsi="宋体" w:eastAsia="宋体" w:cs="宋体"/>
          <w:color w:val="auto"/>
          <w:sz w:val="24"/>
          <w:szCs w:val="24"/>
          <w:highlight w:val="none"/>
          <w:u w:val="single"/>
          <w:lang w:val="en-US" w:eastAsia="zh-CN" w:bidi="ar-SA"/>
        </w:rPr>
        <w:t xml:space="preserve">                          </w:t>
      </w:r>
    </w:p>
    <w:p w14:paraId="32193DB4">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p>
    <w:p w14:paraId="0025C16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采购人名称：</w:t>
      </w:r>
      <w:r>
        <w:rPr>
          <w:rFonts w:hint="eastAsia" w:ascii="宋体" w:hAnsi="宋体" w:eastAsia="宋体" w:cs="宋体"/>
          <w:color w:val="auto"/>
          <w:sz w:val="24"/>
          <w:szCs w:val="24"/>
          <w:highlight w:val="none"/>
          <w:u w:val="single"/>
          <w:lang w:val="en-US" w:eastAsia="zh-CN" w:bidi="ar-SA"/>
        </w:rPr>
        <w:t xml:space="preserve">                            </w:t>
      </w:r>
    </w:p>
    <w:p w14:paraId="3D6273C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采购文件获取日期：</w:t>
      </w:r>
      <w:r>
        <w:rPr>
          <w:rFonts w:hint="eastAsia" w:ascii="宋体" w:hAnsi="宋体" w:eastAsia="宋体" w:cs="宋体"/>
          <w:color w:val="auto"/>
          <w:sz w:val="24"/>
          <w:szCs w:val="24"/>
          <w:highlight w:val="none"/>
          <w:u w:val="single"/>
          <w:lang w:val="en-US" w:eastAsia="zh-CN" w:bidi="ar-SA"/>
        </w:rPr>
        <w:t xml:space="preserve">                             </w:t>
      </w:r>
    </w:p>
    <w:p w14:paraId="6CBC121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三、质疑事项具体内容</w:t>
      </w:r>
    </w:p>
    <w:p w14:paraId="50309659">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质疑事项1：</w:t>
      </w:r>
      <w:r>
        <w:rPr>
          <w:rFonts w:hint="eastAsia" w:ascii="宋体" w:hAnsi="宋体" w:eastAsia="宋体" w:cs="宋体"/>
          <w:color w:val="auto"/>
          <w:sz w:val="24"/>
          <w:szCs w:val="24"/>
          <w:highlight w:val="none"/>
          <w:u w:val="single"/>
          <w:lang w:val="en-US" w:eastAsia="zh-CN" w:bidi="ar-SA"/>
        </w:rPr>
        <w:t xml:space="preserve">                             </w:t>
      </w:r>
    </w:p>
    <w:p w14:paraId="5FAC88A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事实依据：</w:t>
      </w:r>
      <w:r>
        <w:rPr>
          <w:rFonts w:hint="eastAsia" w:ascii="宋体" w:hAnsi="宋体" w:eastAsia="宋体" w:cs="宋体"/>
          <w:color w:val="auto"/>
          <w:sz w:val="24"/>
          <w:szCs w:val="24"/>
          <w:highlight w:val="none"/>
          <w:u w:val="single"/>
          <w:lang w:val="en-US" w:eastAsia="zh-CN" w:bidi="ar-SA"/>
        </w:rPr>
        <w:t xml:space="preserve">                                                   </w:t>
      </w:r>
    </w:p>
    <w:p w14:paraId="479FD114">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法律依据：</w:t>
      </w:r>
      <w:r>
        <w:rPr>
          <w:rFonts w:hint="eastAsia" w:ascii="宋体" w:hAnsi="宋体" w:eastAsia="宋体" w:cs="宋体"/>
          <w:color w:val="auto"/>
          <w:sz w:val="24"/>
          <w:szCs w:val="24"/>
          <w:highlight w:val="none"/>
          <w:u w:val="single"/>
          <w:lang w:val="en-US" w:eastAsia="zh-CN" w:bidi="ar-SA"/>
        </w:rPr>
        <w:t xml:space="preserve">                                                    </w:t>
      </w:r>
    </w:p>
    <w:p w14:paraId="396F46D9">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质疑事项2</w:t>
      </w:r>
    </w:p>
    <w:p w14:paraId="3CB22F5A">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p w14:paraId="734739E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四、与质疑事项相关的质疑请求</w:t>
      </w:r>
    </w:p>
    <w:p w14:paraId="38B1DBFA">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请求：</w:t>
      </w:r>
      <w:r>
        <w:rPr>
          <w:rFonts w:hint="eastAsia" w:ascii="宋体" w:hAnsi="宋体" w:eastAsia="宋体" w:cs="宋体"/>
          <w:color w:val="auto"/>
          <w:sz w:val="24"/>
          <w:szCs w:val="24"/>
          <w:highlight w:val="none"/>
          <w:u w:val="single"/>
          <w:lang w:val="en-US" w:eastAsia="zh-CN" w:bidi="ar-SA"/>
        </w:rPr>
        <w:t xml:space="preserve">                                                          </w:t>
      </w:r>
    </w:p>
    <w:p w14:paraId="5186565D">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日期：    </w:t>
      </w:r>
    </w:p>
    <w:p w14:paraId="3645C3A2">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质疑函制作说明：</w:t>
      </w:r>
    </w:p>
    <w:p w14:paraId="2A52D3D3">
      <w:pPr>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1.供应商提出质疑时，应提交质疑函和必要的证明材料。</w:t>
      </w:r>
    </w:p>
    <w:p w14:paraId="5EFE7ABE">
      <w:pPr>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6DB8823">
      <w:pPr>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3.质疑供应商若对项目的某一分包进行质疑，质疑函中应列明具体分包号。</w:t>
      </w:r>
    </w:p>
    <w:p w14:paraId="5A284073">
      <w:pPr>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4.质疑函的质疑事项应具体、明确，并有必要的事实依据和法律依据。</w:t>
      </w:r>
    </w:p>
    <w:p w14:paraId="239EC822">
      <w:pPr>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5.质疑函的质疑请求应与质疑事项相关。</w:t>
      </w:r>
    </w:p>
    <w:p w14:paraId="4B5F6E7A">
      <w:pPr>
        <w:keepNext w:val="0"/>
        <w:keepLines w:val="0"/>
        <w:pageBreakBefore w:val="0"/>
        <w:widowControl/>
        <w:kinsoku/>
        <w:wordWrap/>
        <w:overflowPunct/>
        <w:topLinePunct w:val="0"/>
        <w:autoSpaceDE/>
        <w:autoSpaceDN/>
        <w:bidi w:val="0"/>
        <w:adjustRightInd/>
        <w:snapToGrid/>
        <w:spacing w:beforeAutospacing="0" w:afterAutospacing="0"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6.质疑供应商为自然人的，质疑函应由本人签字；质疑供应商为法人或者其他组织的，质疑函应由法定代表人（或者负责人）、主要负责人，或者其授权代表签字或者盖章，并加盖公章。</w:t>
      </w:r>
    </w:p>
    <w:p w14:paraId="28EB2F6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color w:val="auto"/>
          <w:sz w:val="21"/>
          <w:szCs w:val="21"/>
        </w:rPr>
      </w:pPr>
    </w:p>
    <w:p w14:paraId="212892DB">
      <w:pPr>
        <w:tabs>
          <w:tab w:val="left" w:pos="9240"/>
        </w:tabs>
        <w:spacing w:line="340" w:lineRule="exact"/>
        <w:ind w:right="176" w:rightChars="84"/>
        <w:jc w:val="right"/>
        <w:rPr>
          <w:rFonts w:ascii="宋体" w:hAnsi="宋体" w:eastAsia="宋体" w:cs="仿宋"/>
          <w:color w:val="auto"/>
          <w:sz w:val="24"/>
          <w:highlight w:val="none"/>
        </w:rPr>
      </w:pPr>
    </w:p>
    <w:sectPr>
      <w:pgSz w:w="11906" w:h="16838"/>
      <w:pgMar w:top="1440" w:right="1134" w:bottom="1440" w:left="1134"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04C15">
    <w:pPr>
      <w:pStyle w:val="2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924F49">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924F49">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D68B3">
    <w:pPr>
      <w:widowControl w:val="0"/>
      <w:tabs>
        <w:tab w:val="center" w:pos="4153"/>
        <w:tab w:val="right" w:pos="8306"/>
      </w:tabs>
      <w:snapToGrid w:val="0"/>
      <w:spacing w:line="360" w:lineRule="auto"/>
      <w:ind w:firstLine="360" w:firstLineChars="200"/>
      <w:jc w:val="left"/>
      <w:rPr>
        <w:rFonts w:ascii="等线" w:hAnsi="等线" w:eastAsia="等线" w:cs="Times New Roman"/>
        <w:kern w:val="2"/>
        <w:sz w:val="18"/>
        <w:szCs w:val="18"/>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764ECE">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9764ECE">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443B8">
    <w:pPr>
      <w:widowControl w:val="0"/>
      <w:tabs>
        <w:tab w:val="center" w:pos="4153"/>
        <w:tab w:val="right" w:pos="8306"/>
      </w:tabs>
      <w:snapToGrid w:val="0"/>
      <w:spacing w:line="360" w:lineRule="auto"/>
      <w:ind w:firstLine="360" w:firstLineChars="200"/>
      <w:jc w:val="left"/>
      <w:rPr>
        <w:rFonts w:ascii="等线" w:hAnsi="等线" w:eastAsia="等线" w:cs="Times New Roman"/>
        <w:kern w:val="2"/>
        <w:sz w:val="18"/>
        <w:szCs w:val="18"/>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91F704">
                          <w:pPr>
                            <w:pStyle w:val="2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C91F704">
                    <w:pPr>
                      <w:pStyle w:val="2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1B1CA">
    <w:pPr>
      <w:widowControl w:val="0"/>
      <w:tabs>
        <w:tab w:val="center" w:pos="4153"/>
        <w:tab w:val="right" w:pos="8306"/>
      </w:tabs>
      <w:snapToGrid w:val="0"/>
      <w:spacing w:line="360" w:lineRule="auto"/>
      <w:ind w:firstLine="360" w:firstLineChars="200"/>
      <w:jc w:val="left"/>
      <w:rPr>
        <w:rFonts w:ascii="等线" w:hAnsi="等线" w:eastAsia="等线"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158BB">
    <w:pPr>
      <w:widowControl w:val="0"/>
      <w:tabs>
        <w:tab w:val="center" w:pos="4153"/>
        <w:tab w:val="right" w:pos="8306"/>
      </w:tabs>
      <w:snapToGrid w:val="0"/>
      <w:spacing w:line="360" w:lineRule="auto"/>
      <w:ind w:firstLine="360" w:firstLineChars="200"/>
      <w:jc w:val="left"/>
      <w:rPr>
        <w:rFonts w:ascii="等线" w:hAnsi="等线" w:eastAsia="等线" w:cs="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9F174">
    <w:pPr>
      <w:pBdr>
        <w:top w:val="none" w:color="auto" w:sz="0" w:space="1"/>
        <w:left w:val="none" w:color="auto" w:sz="0" w:space="0"/>
        <w:bottom w:val="none" w:color="auto" w:sz="0" w:space="0"/>
        <w:right w:val="none" w:color="auto" w:sz="0" w:space="0"/>
        <w:between w:val="none" w:color="auto" w:sz="0" w:space="0"/>
      </w:pBdr>
      <w:tabs>
        <w:tab w:val="left" w:pos="2394"/>
        <w:tab w:val="right" w:pos="8306"/>
      </w:tabs>
      <w:snapToGrid w:val="0"/>
      <w:jc w:val="left"/>
      <w:rPr>
        <w:rFonts w:hint="eastAsia" w:ascii="Times New Roman" w:hAnsi="Times New Roman" w:eastAsia="仿宋_GB2312" w:cs="Times New Roman"/>
        <w:kern w:val="2"/>
        <w:sz w:val="18"/>
        <w:szCs w:val="18"/>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2EB20D">
                          <w:pPr>
                            <w:pStyle w:val="2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C2EB20D">
                    <w:pPr>
                      <w:pStyle w:val="20"/>
                    </w:pPr>
                    <w:r>
                      <w:fldChar w:fldCharType="begin"/>
                    </w:r>
                    <w:r>
                      <w:instrText xml:space="preserve"> PAGE  \* MERGEFORMAT </w:instrText>
                    </w:r>
                    <w:r>
                      <w:fldChar w:fldCharType="separate"/>
                    </w:r>
                    <w:r>
                      <w:t>63</w:t>
                    </w:r>
                    <w:r>
                      <w:fldChar w:fldCharType="end"/>
                    </w:r>
                  </w:p>
                </w:txbxContent>
              </v:textbox>
            </v:shape>
          </w:pict>
        </mc:Fallback>
      </mc:AlternateContent>
    </w:r>
    <w:r>
      <w:rPr>
        <w:rFonts w:hint="eastAsia" w:ascii="Times New Roman" w:hAnsi="Times New Roman" w:eastAsia="仿宋_GB2312" w:cs="Times New Roman"/>
        <w:kern w:val="2"/>
        <w:sz w:val="18"/>
        <w:szCs w:val="18"/>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142F1">
    <w:pPr>
      <w:widowControl w:val="0"/>
      <w:pBdr>
        <w:bottom w:val="none" w:color="auto" w:sz="0" w:space="1"/>
      </w:pBdr>
      <w:tabs>
        <w:tab w:val="center" w:pos="4153"/>
        <w:tab w:val="right" w:pos="8306"/>
      </w:tabs>
      <w:snapToGrid w:val="0"/>
      <w:spacing w:line="360" w:lineRule="auto"/>
      <w:ind w:firstLine="360" w:firstLineChars="200"/>
      <w:jc w:val="center"/>
      <w:rPr>
        <w:rFonts w:ascii="等线" w:hAnsi="等线" w:eastAsia="等线"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04EB5">
    <w:pPr>
      <w:widowControl w:val="0"/>
      <w:pBdr>
        <w:bottom w:val="none" w:color="auto" w:sz="0" w:space="1"/>
      </w:pBdr>
      <w:tabs>
        <w:tab w:val="left" w:pos="1464"/>
        <w:tab w:val="right" w:pos="8306"/>
      </w:tabs>
      <w:snapToGrid w:val="0"/>
      <w:spacing w:line="360" w:lineRule="auto"/>
      <w:jc w:val="both"/>
      <w:rPr>
        <w:rFonts w:ascii="等线" w:hAnsi="等线" w:eastAsia="等线" w:cs="Times New Roman"/>
        <w:kern w:val="2"/>
        <w:sz w:val="18"/>
        <w:szCs w:val="18"/>
        <w:lang w:val="en-US" w:eastAsia="zh-CN" w:bidi="ar-SA"/>
      </w:rPr>
    </w:pPr>
    <w:r>
      <w:rPr>
        <w:rFonts w:hint="eastAsia" w:ascii="等线" w:hAnsi="等线" w:eastAsia="等线" w:cs="Times New Roman"/>
        <w:kern w:val="2"/>
        <w:sz w:val="18"/>
        <w:szCs w:val="18"/>
        <w:lang w:val="en-US" w:eastAsia="zh-CN" w:bidi="ar-S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5CBD0">
    <w:pPr>
      <w:widowControl w:val="0"/>
      <w:pBdr>
        <w:bottom w:val="single" w:color="auto" w:sz="6" w:space="1"/>
      </w:pBdr>
      <w:tabs>
        <w:tab w:val="center" w:pos="4153"/>
        <w:tab w:val="right" w:pos="8306"/>
      </w:tabs>
      <w:snapToGrid w:val="0"/>
      <w:spacing w:line="360" w:lineRule="auto"/>
      <w:ind w:firstLine="360" w:firstLineChars="200"/>
      <w:jc w:val="center"/>
      <w:rPr>
        <w:rFonts w:ascii="等线" w:hAnsi="等线" w:eastAsia="等线"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85581">
    <w:pPr>
      <w:widowControl w:val="0"/>
      <w:pBdr>
        <w:bottom w:val="single" w:color="auto" w:sz="6" w:space="1"/>
      </w:pBdr>
      <w:tabs>
        <w:tab w:val="center" w:pos="4153"/>
        <w:tab w:val="right" w:pos="8306"/>
      </w:tabs>
      <w:snapToGrid w:val="0"/>
      <w:spacing w:line="360" w:lineRule="auto"/>
      <w:ind w:firstLine="360" w:firstLineChars="200"/>
      <w:jc w:val="center"/>
      <w:rPr>
        <w:rFonts w:ascii="等线" w:hAnsi="等线" w:eastAsia="等线"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15044A"/>
    <w:multiLevelType w:val="singleLevel"/>
    <w:tmpl w:val="D115044A"/>
    <w:lvl w:ilvl="0" w:tentative="0">
      <w:start w:val="4"/>
      <w:numFmt w:val="chineseCounting"/>
      <w:suff w:val="space"/>
      <w:lvlText w:val="第%1章"/>
      <w:lvlJc w:val="left"/>
      <w:rPr>
        <w:rFonts w:hint="eastAsia"/>
        <w:sz w:val="44"/>
        <w:szCs w:val="44"/>
      </w:rPr>
    </w:lvl>
  </w:abstractNum>
  <w:abstractNum w:abstractNumId="1">
    <w:nsid w:val="DBF89F34"/>
    <w:multiLevelType w:val="singleLevel"/>
    <w:tmpl w:val="DBF89F34"/>
    <w:lvl w:ilvl="0" w:tentative="0">
      <w:start w:val="2"/>
      <w:numFmt w:val="decimal"/>
      <w:suff w:val="nothing"/>
      <w:lvlText w:val="%1、"/>
      <w:lvlJc w:val="left"/>
    </w:lvl>
  </w:abstractNum>
  <w:abstractNum w:abstractNumId="2">
    <w:nsid w:val="7222D1B6"/>
    <w:multiLevelType w:val="singleLevel"/>
    <w:tmpl w:val="7222D1B6"/>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hhMjc3M2QxYTE0NTM1YzFhYzg0YjBhZDkyNzBlOTQifQ=="/>
  </w:docVars>
  <w:rsids>
    <w:rsidRoot w:val="00577325"/>
    <w:rsid w:val="00122863"/>
    <w:rsid w:val="0030374D"/>
    <w:rsid w:val="004C015F"/>
    <w:rsid w:val="00577325"/>
    <w:rsid w:val="00651DBE"/>
    <w:rsid w:val="00886341"/>
    <w:rsid w:val="008D2737"/>
    <w:rsid w:val="00951475"/>
    <w:rsid w:val="009F39E1"/>
    <w:rsid w:val="00A0004D"/>
    <w:rsid w:val="00C405C2"/>
    <w:rsid w:val="0170360E"/>
    <w:rsid w:val="0192664B"/>
    <w:rsid w:val="02216EF0"/>
    <w:rsid w:val="02671768"/>
    <w:rsid w:val="02B7624C"/>
    <w:rsid w:val="02B91782"/>
    <w:rsid w:val="02E030E9"/>
    <w:rsid w:val="034200E3"/>
    <w:rsid w:val="06C246A6"/>
    <w:rsid w:val="07373DFF"/>
    <w:rsid w:val="075C1AB8"/>
    <w:rsid w:val="07E47657"/>
    <w:rsid w:val="08191757"/>
    <w:rsid w:val="0A6E3A22"/>
    <w:rsid w:val="0B5A4D29"/>
    <w:rsid w:val="0CCA1272"/>
    <w:rsid w:val="0D5D70DB"/>
    <w:rsid w:val="0E602AAD"/>
    <w:rsid w:val="0E88342D"/>
    <w:rsid w:val="0EF10D38"/>
    <w:rsid w:val="0F4F5A5E"/>
    <w:rsid w:val="10384339"/>
    <w:rsid w:val="11191FF8"/>
    <w:rsid w:val="126B6C7F"/>
    <w:rsid w:val="12721D24"/>
    <w:rsid w:val="1285713F"/>
    <w:rsid w:val="13814281"/>
    <w:rsid w:val="14B44CE1"/>
    <w:rsid w:val="15712BD2"/>
    <w:rsid w:val="161530D2"/>
    <w:rsid w:val="16350E1D"/>
    <w:rsid w:val="16461969"/>
    <w:rsid w:val="17F5121A"/>
    <w:rsid w:val="192F72EC"/>
    <w:rsid w:val="19872D31"/>
    <w:rsid w:val="1B8A58E9"/>
    <w:rsid w:val="1C7134B8"/>
    <w:rsid w:val="1D2D4B03"/>
    <w:rsid w:val="1F8D2032"/>
    <w:rsid w:val="1FCF0C21"/>
    <w:rsid w:val="20B00A53"/>
    <w:rsid w:val="21415B46"/>
    <w:rsid w:val="219E2962"/>
    <w:rsid w:val="222A0391"/>
    <w:rsid w:val="224623B7"/>
    <w:rsid w:val="22B51BA4"/>
    <w:rsid w:val="23A14683"/>
    <w:rsid w:val="243E6253"/>
    <w:rsid w:val="25331C52"/>
    <w:rsid w:val="25E46AA9"/>
    <w:rsid w:val="25F10744"/>
    <w:rsid w:val="27054F28"/>
    <w:rsid w:val="27716887"/>
    <w:rsid w:val="27AF1307"/>
    <w:rsid w:val="28A326AD"/>
    <w:rsid w:val="29BE53BA"/>
    <w:rsid w:val="2AA23173"/>
    <w:rsid w:val="2AD94409"/>
    <w:rsid w:val="2B5D3F7C"/>
    <w:rsid w:val="2BAF1907"/>
    <w:rsid w:val="2C102755"/>
    <w:rsid w:val="2C83370D"/>
    <w:rsid w:val="2CAA76C2"/>
    <w:rsid w:val="2CE13D42"/>
    <w:rsid w:val="2DF36684"/>
    <w:rsid w:val="2E2E2FB7"/>
    <w:rsid w:val="2E79290E"/>
    <w:rsid w:val="2F0F0319"/>
    <w:rsid w:val="2F2B7C24"/>
    <w:rsid w:val="313E2AEE"/>
    <w:rsid w:val="31732E3A"/>
    <w:rsid w:val="317F37F4"/>
    <w:rsid w:val="319441C1"/>
    <w:rsid w:val="327033DE"/>
    <w:rsid w:val="34EA2D39"/>
    <w:rsid w:val="355E08F3"/>
    <w:rsid w:val="365E4655"/>
    <w:rsid w:val="36D466C5"/>
    <w:rsid w:val="36D91342"/>
    <w:rsid w:val="3AC9495A"/>
    <w:rsid w:val="3B7E2C22"/>
    <w:rsid w:val="3B813E54"/>
    <w:rsid w:val="3BF50A91"/>
    <w:rsid w:val="3BF65ED8"/>
    <w:rsid w:val="3C1F309D"/>
    <w:rsid w:val="3D4A7172"/>
    <w:rsid w:val="3DF053D5"/>
    <w:rsid w:val="3E344619"/>
    <w:rsid w:val="3F0763D8"/>
    <w:rsid w:val="3FCB2D5B"/>
    <w:rsid w:val="40760EF4"/>
    <w:rsid w:val="40925F78"/>
    <w:rsid w:val="41684A1D"/>
    <w:rsid w:val="41B91970"/>
    <w:rsid w:val="428A301F"/>
    <w:rsid w:val="43170AC7"/>
    <w:rsid w:val="443350DA"/>
    <w:rsid w:val="45744E75"/>
    <w:rsid w:val="464F1FC7"/>
    <w:rsid w:val="474B6530"/>
    <w:rsid w:val="488378B3"/>
    <w:rsid w:val="4DCF29FB"/>
    <w:rsid w:val="4E8929D8"/>
    <w:rsid w:val="4FE37ABB"/>
    <w:rsid w:val="50575F45"/>
    <w:rsid w:val="527728D6"/>
    <w:rsid w:val="52A52F06"/>
    <w:rsid w:val="532C2346"/>
    <w:rsid w:val="53E00AD5"/>
    <w:rsid w:val="56486A5C"/>
    <w:rsid w:val="57460AC2"/>
    <w:rsid w:val="57A23F4A"/>
    <w:rsid w:val="57E07E3C"/>
    <w:rsid w:val="59B0098A"/>
    <w:rsid w:val="5C7D0B09"/>
    <w:rsid w:val="5CA943D8"/>
    <w:rsid w:val="5CD91555"/>
    <w:rsid w:val="5D065F4B"/>
    <w:rsid w:val="5F962DD4"/>
    <w:rsid w:val="5FE31FDC"/>
    <w:rsid w:val="60344E6C"/>
    <w:rsid w:val="614B7400"/>
    <w:rsid w:val="6248193D"/>
    <w:rsid w:val="63C55567"/>
    <w:rsid w:val="64FA75AD"/>
    <w:rsid w:val="66165EBD"/>
    <w:rsid w:val="671A2A3A"/>
    <w:rsid w:val="672E5653"/>
    <w:rsid w:val="674C6D2D"/>
    <w:rsid w:val="67FB1A14"/>
    <w:rsid w:val="689D41B3"/>
    <w:rsid w:val="6CF76415"/>
    <w:rsid w:val="6F4B5561"/>
    <w:rsid w:val="6FF620D5"/>
    <w:rsid w:val="70BA7892"/>
    <w:rsid w:val="70FF70A3"/>
    <w:rsid w:val="7103507D"/>
    <w:rsid w:val="71DA2715"/>
    <w:rsid w:val="72511CD4"/>
    <w:rsid w:val="725F0F5E"/>
    <w:rsid w:val="737E4D6B"/>
    <w:rsid w:val="73973A43"/>
    <w:rsid w:val="751B5A58"/>
    <w:rsid w:val="751F165F"/>
    <w:rsid w:val="752B2FC0"/>
    <w:rsid w:val="764510FA"/>
    <w:rsid w:val="79050F41"/>
    <w:rsid w:val="79D73ACF"/>
    <w:rsid w:val="7D9B30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200"/>
    <w:qFormat/>
    <w:uiPriority w:val="0"/>
    <w:pPr>
      <w:keepNext/>
      <w:spacing w:before="160" w:after="160"/>
      <w:ind w:firstLine="425"/>
      <w:outlineLvl w:val="3"/>
    </w:pPr>
    <w:rPr>
      <w:rFonts w:ascii="Arial" w:hAnsi="Arial" w:eastAsia="宋体" w:cs="Times New Roman"/>
      <w:b/>
      <w:color w:val="000000"/>
      <w:sz w:val="24"/>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link w:val="199"/>
    <w:semiHidden/>
    <w:unhideWhenUsed/>
    <w:qFormat/>
    <w:uiPriority w:val="99"/>
    <w:pPr>
      <w:keepNext w:val="0"/>
      <w:keepLines w:val="0"/>
      <w:widowControl w:val="0"/>
      <w:suppressLineNumbers w:val="0"/>
      <w:spacing w:before="0" w:beforeAutospacing="0" w:after="0" w:afterAutospacing="0"/>
      <w:ind w:left="0" w:right="0"/>
      <w:jc w:val="left"/>
    </w:pPr>
    <w:rPr>
      <w:rFonts w:hint="default" w:ascii="Calibri" w:hAnsi="Calibri" w:eastAsia="宋体" w:cs="Times New Roman"/>
      <w:kern w:val="0"/>
      <w:sz w:val="21"/>
      <w:szCs w:val="24"/>
      <w:lang w:val="en-US" w:eastAsia="zh-CN" w:bidi="ar"/>
    </w:rPr>
  </w:style>
  <w:style w:type="paragraph" w:styleId="14">
    <w:name w:val="Body Text"/>
    <w:basedOn w:val="1"/>
    <w:next w:val="1"/>
    <w:qFormat/>
    <w:uiPriority w:val="0"/>
    <w:rPr>
      <w:rFonts w:ascii="楷体_GB2312" w:hAnsi="Arial" w:eastAsia="楷体_GB2312"/>
      <w:sz w:val="28"/>
      <w:szCs w:val="28"/>
    </w:rPr>
  </w:style>
  <w:style w:type="paragraph" w:styleId="15">
    <w:name w:val="Block Text"/>
    <w:basedOn w:val="1"/>
    <w:unhideWhenUsed/>
    <w:qFormat/>
    <w:uiPriority w:val="99"/>
    <w:pPr>
      <w:spacing w:after="120"/>
      <w:ind w:left="1440" w:right="144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link w:val="185"/>
    <w:semiHidden/>
    <w:unhideWhenUsed/>
    <w:qFormat/>
    <w:uiPriority w:val="99"/>
    <w:rPr>
      <w:sz w:val="20"/>
    </w:rPr>
  </w:style>
  <w:style w:type="paragraph" w:styleId="20">
    <w:name w:val="footer"/>
    <w:basedOn w:val="1"/>
    <w:qFormat/>
    <w:uiPriority w:val="99"/>
    <w:pPr>
      <w:tabs>
        <w:tab w:val="center" w:pos="4153"/>
        <w:tab w:val="right" w:pos="8306"/>
      </w:tabs>
      <w:jc w:val="left"/>
    </w:pPr>
    <w:rPr>
      <w:sz w:val="18"/>
      <w:szCs w:val="18"/>
    </w:rPr>
  </w:style>
  <w:style w:type="paragraph" w:styleId="21">
    <w:name w:val="header"/>
    <w:basedOn w:val="1"/>
    <w:link w:val="56"/>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1"/>
    <w:qFormat/>
    <w:uiPriority w:val="11"/>
    <w:pPr>
      <w:spacing w:before="200" w:after="200"/>
    </w:pPr>
    <w:rPr>
      <w:sz w:val="24"/>
    </w:rPr>
  </w:style>
  <w:style w:type="paragraph" w:styleId="25">
    <w:name w:val="footnote text"/>
    <w:basedOn w:val="1"/>
    <w:link w:val="184"/>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autoRedefine/>
    <w:unhideWhenUsed/>
    <w:qFormat/>
    <w:uiPriority w:val="99"/>
  </w:style>
  <w:style w:type="paragraph" w:styleId="28">
    <w:name w:val="toc 2"/>
    <w:basedOn w:val="1"/>
    <w:next w:val="1"/>
    <w:autoRedefine/>
    <w:unhideWhenUsed/>
    <w:qFormat/>
    <w:uiPriority w:val="39"/>
    <w:pPr>
      <w:spacing w:after="57"/>
      <w:ind w:left="283"/>
    </w:pPr>
  </w:style>
  <w:style w:type="paragraph" w:styleId="29">
    <w:name w:val="toc 9"/>
    <w:basedOn w:val="1"/>
    <w:next w:val="1"/>
    <w:autoRedefine/>
    <w:unhideWhenUsed/>
    <w:qFormat/>
    <w:uiPriority w:val="39"/>
    <w:pPr>
      <w:spacing w:after="57"/>
      <w:ind w:left="2268"/>
    </w:pPr>
  </w:style>
  <w:style w:type="paragraph" w:styleId="30">
    <w:name w:val="Normal (Web)"/>
    <w:basedOn w:val="1"/>
    <w:autoRedefine/>
    <w:qFormat/>
    <w:uiPriority w:val="0"/>
    <w:pPr>
      <w:spacing w:beforeAutospacing="1" w:afterAutospacing="1"/>
      <w:jc w:val="left"/>
    </w:pPr>
    <w:rPr>
      <w:rFonts w:cs="Times New Roman"/>
      <w:sz w:val="24"/>
    </w:rPr>
  </w:style>
  <w:style w:type="paragraph" w:styleId="31">
    <w:name w:val="Title"/>
    <w:basedOn w:val="1"/>
    <w:next w:val="1"/>
    <w:link w:val="50"/>
    <w:qFormat/>
    <w:uiPriority w:val="10"/>
    <w:pPr>
      <w:spacing w:before="300" w:after="200"/>
      <w:contextualSpacing/>
    </w:pPr>
    <w:rPr>
      <w:sz w:val="48"/>
      <w:szCs w:val="48"/>
    </w:rPr>
  </w:style>
  <w:style w:type="table" w:styleId="33">
    <w:name w:val="Table Grid"/>
    <w:basedOn w:val="3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5">
    <w:name w:val="Strong"/>
    <w:basedOn w:val="34"/>
    <w:autoRedefine/>
    <w:qFormat/>
    <w:uiPriority w:val="22"/>
    <w:rPr>
      <w:b/>
    </w:rPr>
  </w:style>
  <w:style w:type="character" w:styleId="36">
    <w:name w:val="endnote reference"/>
    <w:basedOn w:val="34"/>
    <w:semiHidden/>
    <w:unhideWhenUsed/>
    <w:qFormat/>
    <w:uiPriority w:val="99"/>
    <w:rPr>
      <w:vertAlign w:val="superscript"/>
    </w:rPr>
  </w:style>
  <w:style w:type="character" w:styleId="37">
    <w:name w:val="Hyperlink"/>
    <w:unhideWhenUsed/>
    <w:qFormat/>
    <w:uiPriority w:val="99"/>
    <w:rPr>
      <w:color w:val="0026E5" w:themeColor="hyperlink"/>
      <w:u w:val="single"/>
      <w14:textFill>
        <w14:solidFill>
          <w14:schemeClr w14:val="hlink"/>
        </w14:solidFill>
      </w14:textFill>
    </w:rPr>
  </w:style>
  <w:style w:type="character" w:styleId="38">
    <w:name w:val="footnote reference"/>
    <w:basedOn w:val="34"/>
    <w:autoRedefine/>
    <w:unhideWhenUsed/>
    <w:qFormat/>
    <w:uiPriority w:val="99"/>
    <w:rPr>
      <w:vertAlign w:val="superscript"/>
    </w:rPr>
  </w:style>
  <w:style w:type="character" w:customStyle="1" w:styleId="39">
    <w:name w:val="标题 1 字符"/>
    <w:basedOn w:val="34"/>
    <w:link w:val="2"/>
    <w:autoRedefine/>
    <w:qFormat/>
    <w:uiPriority w:val="9"/>
    <w:rPr>
      <w:rFonts w:ascii="Arial" w:hAnsi="Arial" w:eastAsia="Arial" w:cs="Arial"/>
      <w:sz w:val="40"/>
      <w:szCs w:val="40"/>
    </w:rPr>
  </w:style>
  <w:style w:type="character" w:customStyle="1" w:styleId="40">
    <w:name w:val="Heading 2 Char"/>
    <w:basedOn w:val="34"/>
    <w:autoRedefine/>
    <w:qFormat/>
    <w:uiPriority w:val="9"/>
    <w:rPr>
      <w:rFonts w:ascii="Arial" w:hAnsi="Arial" w:eastAsia="Arial" w:cs="Arial"/>
      <w:sz w:val="34"/>
    </w:rPr>
  </w:style>
  <w:style w:type="character" w:customStyle="1" w:styleId="41">
    <w:name w:val="标题 3 字符"/>
    <w:basedOn w:val="34"/>
    <w:link w:val="4"/>
    <w:autoRedefine/>
    <w:qFormat/>
    <w:uiPriority w:val="9"/>
    <w:rPr>
      <w:rFonts w:ascii="Arial" w:hAnsi="Arial" w:eastAsia="Arial" w:cs="Arial"/>
      <w:sz w:val="30"/>
      <w:szCs w:val="30"/>
    </w:rPr>
  </w:style>
  <w:style w:type="character" w:customStyle="1" w:styleId="42">
    <w:name w:val="Heading 4 Char"/>
    <w:basedOn w:val="34"/>
    <w:autoRedefine/>
    <w:qFormat/>
    <w:uiPriority w:val="9"/>
    <w:rPr>
      <w:rFonts w:ascii="Arial" w:hAnsi="Arial" w:eastAsia="Arial" w:cs="Arial"/>
      <w:b/>
      <w:bCs/>
      <w:sz w:val="26"/>
      <w:szCs w:val="26"/>
    </w:rPr>
  </w:style>
  <w:style w:type="character" w:customStyle="1" w:styleId="43">
    <w:name w:val="标题 5 字符"/>
    <w:basedOn w:val="34"/>
    <w:link w:val="6"/>
    <w:qFormat/>
    <w:uiPriority w:val="9"/>
    <w:rPr>
      <w:rFonts w:ascii="Arial" w:hAnsi="Arial" w:eastAsia="Arial" w:cs="Arial"/>
      <w:b/>
      <w:bCs/>
      <w:sz w:val="24"/>
      <w:szCs w:val="24"/>
    </w:rPr>
  </w:style>
  <w:style w:type="character" w:customStyle="1" w:styleId="44">
    <w:name w:val="Heading 6 Char"/>
    <w:basedOn w:val="34"/>
    <w:autoRedefine/>
    <w:qFormat/>
    <w:uiPriority w:val="9"/>
    <w:rPr>
      <w:rFonts w:ascii="Arial" w:hAnsi="Arial" w:eastAsia="Arial" w:cs="Arial"/>
      <w:b/>
      <w:bCs/>
      <w:sz w:val="22"/>
      <w:szCs w:val="22"/>
    </w:rPr>
  </w:style>
  <w:style w:type="character" w:customStyle="1" w:styleId="45">
    <w:name w:val="标题 7 字符"/>
    <w:basedOn w:val="34"/>
    <w:link w:val="8"/>
    <w:autoRedefine/>
    <w:qFormat/>
    <w:uiPriority w:val="9"/>
    <w:rPr>
      <w:rFonts w:ascii="Arial" w:hAnsi="Arial" w:eastAsia="Arial" w:cs="Arial"/>
      <w:b/>
      <w:bCs/>
      <w:i/>
      <w:iCs/>
      <w:sz w:val="22"/>
      <w:szCs w:val="22"/>
    </w:rPr>
  </w:style>
  <w:style w:type="character" w:customStyle="1" w:styleId="46">
    <w:name w:val="标题 8 字符"/>
    <w:basedOn w:val="34"/>
    <w:link w:val="9"/>
    <w:qFormat/>
    <w:uiPriority w:val="9"/>
    <w:rPr>
      <w:rFonts w:ascii="Arial" w:hAnsi="Arial" w:eastAsia="Arial" w:cs="Arial"/>
      <w:i/>
      <w:iCs/>
      <w:sz w:val="22"/>
      <w:szCs w:val="22"/>
    </w:rPr>
  </w:style>
  <w:style w:type="character" w:customStyle="1" w:styleId="47">
    <w:name w:val="标题 9 字符"/>
    <w:basedOn w:val="34"/>
    <w:link w:val="10"/>
    <w:qFormat/>
    <w:uiPriority w:val="9"/>
    <w:rPr>
      <w:rFonts w:ascii="Arial" w:hAnsi="Arial" w:eastAsia="Arial" w:cs="Arial"/>
      <w:i/>
      <w:iCs/>
      <w:sz w:val="21"/>
      <w:szCs w:val="21"/>
    </w:rPr>
  </w:style>
  <w:style w:type="paragraph" w:styleId="48">
    <w:name w:val="List Paragraph"/>
    <w:basedOn w:val="1"/>
    <w:autoRedefine/>
    <w:qFormat/>
    <w:uiPriority w:val="34"/>
    <w:pPr>
      <w:ind w:left="720"/>
      <w:contextualSpacing/>
    </w:pPr>
  </w:style>
  <w:style w:type="paragraph" w:styleId="49">
    <w:name w:val="No Spacing"/>
    <w:autoRedefine/>
    <w:qFormat/>
    <w:uiPriority w:val="1"/>
    <w:rPr>
      <w:rFonts w:ascii="Times New Roman" w:hAnsi="Times New Roman" w:eastAsia="宋体" w:cs="Times New Roman"/>
      <w:lang w:val="en-US" w:eastAsia="zh-CN" w:bidi="ar-SA"/>
    </w:rPr>
  </w:style>
  <w:style w:type="character" w:customStyle="1" w:styleId="50">
    <w:name w:val="标题 字符"/>
    <w:basedOn w:val="34"/>
    <w:link w:val="31"/>
    <w:autoRedefine/>
    <w:qFormat/>
    <w:uiPriority w:val="10"/>
    <w:rPr>
      <w:sz w:val="48"/>
      <w:szCs w:val="48"/>
    </w:rPr>
  </w:style>
  <w:style w:type="character" w:customStyle="1" w:styleId="51">
    <w:name w:val="副标题 字符"/>
    <w:basedOn w:val="34"/>
    <w:link w:val="24"/>
    <w:autoRedefine/>
    <w:qFormat/>
    <w:uiPriority w:val="11"/>
    <w:rPr>
      <w:sz w:val="24"/>
      <w:szCs w:val="24"/>
    </w:rPr>
  </w:style>
  <w:style w:type="paragraph" w:styleId="52">
    <w:name w:val="Quote"/>
    <w:basedOn w:val="1"/>
    <w:next w:val="1"/>
    <w:link w:val="53"/>
    <w:autoRedefine/>
    <w:qFormat/>
    <w:uiPriority w:val="29"/>
    <w:pPr>
      <w:ind w:left="720" w:right="720"/>
    </w:pPr>
    <w:rPr>
      <w:i/>
    </w:rPr>
  </w:style>
  <w:style w:type="character" w:customStyle="1" w:styleId="53">
    <w:name w:val="引用 字符"/>
    <w:link w:val="52"/>
    <w:autoRedefine/>
    <w:qFormat/>
    <w:uiPriority w:val="29"/>
    <w:rPr>
      <w:i/>
    </w:rPr>
  </w:style>
  <w:style w:type="paragraph" w:styleId="54">
    <w:name w:val="Intense Quote"/>
    <w:basedOn w:val="1"/>
    <w:next w:val="1"/>
    <w:link w:val="5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字符"/>
    <w:link w:val="54"/>
    <w:autoRedefine/>
    <w:qFormat/>
    <w:uiPriority w:val="30"/>
    <w:rPr>
      <w:i/>
    </w:rPr>
  </w:style>
  <w:style w:type="character" w:customStyle="1" w:styleId="56">
    <w:name w:val="页眉 字符"/>
    <w:basedOn w:val="34"/>
    <w:link w:val="21"/>
    <w:autoRedefine/>
    <w:qFormat/>
    <w:uiPriority w:val="99"/>
  </w:style>
  <w:style w:type="character" w:customStyle="1" w:styleId="57">
    <w:name w:val="Footer Char"/>
    <w:basedOn w:val="34"/>
    <w:autoRedefine/>
    <w:qFormat/>
    <w:uiPriority w:val="99"/>
  </w:style>
  <w:style w:type="character" w:customStyle="1" w:styleId="58">
    <w:name w:val="Caption Char"/>
    <w:autoRedefine/>
    <w:qFormat/>
    <w:uiPriority w:val="99"/>
  </w:style>
  <w:style w:type="table" w:customStyle="1" w:styleId="59">
    <w:name w:val="Table Grid Light"/>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0">
    <w:name w:val="无格式表格 11"/>
    <w:basedOn w:val="3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无格式表格 21"/>
    <w:basedOn w:val="32"/>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无格式表格 31"/>
    <w:basedOn w:val="3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41"/>
    <w:basedOn w:val="32"/>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51"/>
    <w:basedOn w:val="3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网格表 1 浅色1"/>
    <w:basedOn w:val="32"/>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32"/>
    <w:autoRedefine/>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7">
    <w:name w:val="Grid Table 1 Light - Accent 2"/>
    <w:basedOn w:val="32"/>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8">
    <w:name w:val="Grid Table 1 Light - Accent 3"/>
    <w:basedOn w:val="32"/>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9">
    <w:name w:val="Grid Table 1 Light - Accent 4"/>
    <w:basedOn w:val="32"/>
    <w:autoRedefine/>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0">
    <w:name w:val="Grid Table 1 Light - Accent 5"/>
    <w:basedOn w:val="32"/>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1">
    <w:name w:val="Grid Table 1 Light - Accent 6"/>
    <w:basedOn w:val="32"/>
    <w:autoRedefine/>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2">
    <w:name w:val="网格表 2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basedOn w:val="32"/>
    <w:autoRedefine/>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4">
    <w:name w:val="Grid Table 2 - Accent 2"/>
    <w:basedOn w:val="32"/>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5">
    <w:name w:val="Grid Table 2 - Accent 3"/>
    <w:basedOn w:val="32"/>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6">
    <w:name w:val="Grid Table 2 - Accent 4"/>
    <w:basedOn w:val="32"/>
    <w:autoRedefine/>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7">
    <w:name w:val="Grid Table 2 - Accent 5"/>
    <w:basedOn w:val="32"/>
    <w:autoRedefine/>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8">
    <w:name w:val="Grid Table 2 - Accent 6"/>
    <w:basedOn w:val="32"/>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9">
    <w:name w:val="网格表 31"/>
    <w:basedOn w:val="3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basedOn w:val="32"/>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1">
    <w:name w:val="Grid Table 3 - Accent 2"/>
    <w:basedOn w:val="32"/>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2">
    <w:name w:val="Grid Table 3 - Accent 3"/>
    <w:basedOn w:val="32"/>
    <w:autoRedefine/>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3">
    <w:name w:val="Grid Table 3 - Accent 4"/>
    <w:basedOn w:val="32"/>
    <w:autoRedefine/>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4">
    <w:name w:val="Grid Table 3 - Accent 5"/>
    <w:basedOn w:val="32"/>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5">
    <w:name w:val="Grid Table 3 - Accent 6"/>
    <w:basedOn w:val="32"/>
    <w:autoRedefine/>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6">
    <w:name w:val="网格表 41"/>
    <w:basedOn w:val="32"/>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basedOn w:val="32"/>
    <w:autoRedefine/>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8">
    <w:name w:val="Grid Table 4 - Accent 2"/>
    <w:basedOn w:val="32"/>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9">
    <w:name w:val="Grid Table 4 - Accent 3"/>
    <w:basedOn w:val="32"/>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0">
    <w:name w:val="Grid Table 4 - Accent 4"/>
    <w:basedOn w:val="32"/>
    <w:autoRedefine/>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1">
    <w:name w:val="Grid Table 4 - Accent 5"/>
    <w:basedOn w:val="32"/>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2">
    <w:name w:val="Grid Table 4 - Accent 6"/>
    <w:basedOn w:val="32"/>
    <w:autoRedefine/>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3">
    <w:name w:val="网格表 5 深色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5">
    <w:name w:val="Grid Table 5 Dark - Accent 2"/>
    <w:basedOn w:val="3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6">
    <w:name w:val="Grid Table 5 Dark - Accent 3"/>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7">
    <w:name w:val="Grid Table 5 Dark- Accent 4"/>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8">
    <w:name w:val="Grid Table 5 Dark - Accent 5"/>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9">
    <w:name w:val="Grid Table 5 Dark - Accent 6"/>
    <w:basedOn w:val="3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0">
    <w:name w:val="网格表 6 彩色1"/>
    <w:basedOn w:val="3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basedOn w:val="32"/>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basedOn w:val="32"/>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basedOn w:val="32"/>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04">
    <w:name w:val="Grid Table 6 Colorful - Accent 4"/>
    <w:basedOn w:val="32"/>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basedOn w:val="32"/>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6">
    <w:name w:val="Grid Table 6 Colorful - Accent 6"/>
    <w:basedOn w:val="32"/>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7">
    <w:name w:val="网格表 7 彩色1"/>
    <w:basedOn w:val="3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basedOn w:val="32"/>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basedOn w:val="32"/>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basedOn w:val="32"/>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1">
    <w:name w:val="Grid Table 7 Colorful - Accent 4"/>
    <w:basedOn w:val="32"/>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basedOn w:val="32"/>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3">
    <w:name w:val="Grid Table 7 Colorful - Accent 6"/>
    <w:basedOn w:val="32"/>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4">
    <w:name w:val="清单表 1 浅色1"/>
    <w:basedOn w:val="3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basedOn w:val="32"/>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6">
    <w:name w:val="List Table 1 Light - Accent 2"/>
    <w:basedOn w:val="32"/>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7">
    <w:name w:val="List Table 1 Light - Accent 3"/>
    <w:basedOn w:val="32"/>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8">
    <w:name w:val="List Table 1 Light - Accent 4"/>
    <w:basedOn w:val="32"/>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9">
    <w:name w:val="List Table 1 Light - Accent 5"/>
    <w:basedOn w:val="32"/>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0">
    <w:name w:val="List Table 1 Light - Accent 6"/>
    <w:basedOn w:val="32"/>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1">
    <w:name w:val="清单表 21"/>
    <w:basedOn w:val="3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basedOn w:val="32"/>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3">
    <w:name w:val="List Table 2 - Accent 2"/>
    <w:basedOn w:val="32"/>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4">
    <w:name w:val="List Table 2 - Accent 3"/>
    <w:basedOn w:val="32"/>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5">
    <w:name w:val="List Table 2 - Accent 4"/>
    <w:basedOn w:val="32"/>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6">
    <w:name w:val="List Table 2 - Accent 5"/>
    <w:basedOn w:val="32"/>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7">
    <w:name w:val="List Table 2 - Accent 6"/>
    <w:basedOn w:val="32"/>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8">
    <w:name w:val="清单表 3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32"/>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0">
    <w:name w:val="List Table 3 - Accent 2"/>
    <w:basedOn w:val="32"/>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1">
    <w:name w:val="List Table 3 - Accent 3"/>
    <w:basedOn w:val="32"/>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2">
    <w:name w:val="List Table 3 - Accent 4"/>
    <w:basedOn w:val="32"/>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3">
    <w:name w:val="List Table 3 - Accent 5"/>
    <w:basedOn w:val="32"/>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4">
    <w:name w:val="List Table 3 - Accent 6"/>
    <w:basedOn w:val="32"/>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5">
    <w:name w:val="清单表 41"/>
    <w:basedOn w:val="3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basedOn w:val="32"/>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7">
    <w:name w:val="List Table 4 - Accent 2"/>
    <w:basedOn w:val="32"/>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8">
    <w:name w:val="List Table 4 - Accent 3"/>
    <w:basedOn w:val="32"/>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9">
    <w:name w:val="List Table 4 - Accent 4"/>
    <w:basedOn w:val="32"/>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0">
    <w:name w:val="List Table 4 - Accent 5"/>
    <w:basedOn w:val="32"/>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1">
    <w:name w:val="List Table 4 - Accent 6"/>
    <w:basedOn w:val="32"/>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2">
    <w:name w:val="清单表 5 深色1"/>
    <w:basedOn w:val="3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basedOn w:val="32"/>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4">
    <w:name w:val="List Table 5 Dark - Accent 2"/>
    <w:basedOn w:val="32"/>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5">
    <w:name w:val="List Table 5 Dark - Accent 3"/>
    <w:basedOn w:val="32"/>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6">
    <w:name w:val="List Table 5 Dark - Accent 4"/>
    <w:basedOn w:val="32"/>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7">
    <w:name w:val="List Table 5 Dark - Accent 5"/>
    <w:basedOn w:val="32"/>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8">
    <w:name w:val="List Table 5 Dark - Accent 6"/>
    <w:basedOn w:val="32"/>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9">
    <w:name w:val="清单表 6 彩色1"/>
    <w:basedOn w:val="3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basedOn w:val="32"/>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1">
    <w:name w:val="List Table 6 Colorful - Accent 2"/>
    <w:basedOn w:val="32"/>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basedOn w:val="32"/>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basedOn w:val="32"/>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basedOn w:val="32"/>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basedOn w:val="32"/>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6">
    <w:name w:val="清单表 7 彩色1"/>
    <w:basedOn w:val="3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basedOn w:val="32"/>
    <w:autoRedefine/>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8">
    <w:name w:val="List Table 7 Colorful - Accent 2"/>
    <w:basedOn w:val="32"/>
    <w:autoRedefine/>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basedOn w:val="32"/>
    <w:autoRedefine/>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basedOn w:val="32"/>
    <w:autoRedefine/>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basedOn w:val="32"/>
    <w:autoRedefine/>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basedOn w:val="32"/>
    <w:autoRedefine/>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3">
    <w:name w:val="Lined - Accent"/>
    <w:basedOn w:val="32"/>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basedOn w:val="32"/>
    <w:autoRedefine/>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5">
    <w:name w:val="Lined - Accent 2"/>
    <w:basedOn w:val="32"/>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6">
    <w:name w:val="Lined - Accent 3"/>
    <w:basedOn w:val="32"/>
    <w:autoRedefine/>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7">
    <w:name w:val="Lined - Accent 4"/>
    <w:basedOn w:val="32"/>
    <w:autoRedefine/>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8">
    <w:name w:val="Lined - Accent 5"/>
    <w:basedOn w:val="32"/>
    <w:autoRedefine/>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9">
    <w:name w:val="Lined - Accent 6"/>
    <w:basedOn w:val="32"/>
    <w:autoRedefine/>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0">
    <w:name w:val="Bordered &amp; Lined - Accent"/>
    <w:basedOn w:val="3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basedOn w:val="32"/>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2">
    <w:name w:val="Bordered &amp; Lined - Accent 2"/>
    <w:basedOn w:val="32"/>
    <w:autoRedefine/>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3">
    <w:name w:val="Bordered &amp; Lined - Accent 3"/>
    <w:basedOn w:val="32"/>
    <w:autoRedefine/>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4">
    <w:name w:val="Bordered &amp; Lined - Accent 4"/>
    <w:basedOn w:val="32"/>
    <w:autoRedefine/>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5">
    <w:name w:val="Bordered &amp; Lined - Accent 5"/>
    <w:basedOn w:val="32"/>
    <w:autoRedefine/>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6">
    <w:name w:val="Bordered &amp; Lined - Accent 6"/>
    <w:basedOn w:val="32"/>
    <w:autoRedefine/>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7">
    <w:name w:val="Bordered"/>
    <w:basedOn w:val="32"/>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32"/>
    <w:autoRedefine/>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9">
    <w:name w:val="Bordered - Accent 2"/>
    <w:basedOn w:val="32"/>
    <w:autoRedefine/>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0">
    <w:name w:val="Bordered - Accent 3"/>
    <w:basedOn w:val="32"/>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1">
    <w:name w:val="Bordered - Accent 4"/>
    <w:basedOn w:val="32"/>
    <w:autoRedefine/>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2">
    <w:name w:val="Bordered - Accent 5"/>
    <w:basedOn w:val="32"/>
    <w:autoRedefine/>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3">
    <w:name w:val="Bordered - Accent 6"/>
    <w:basedOn w:val="32"/>
    <w:autoRedefine/>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4">
    <w:name w:val="脚注文本 字符"/>
    <w:link w:val="25"/>
    <w:autoRedefine/>
    <w:qFormat/>
    <w:uiPriority w:val="99"/>
    <w:rPr>
      <w:sz w:val="18"/>
    </w:rPr>
  </w:style>
  <w:style w:type="character" w:customStyle="1" w:styleId="185">
    <w:name w:val="尾注文本 字符"/>
    <w:link w:val="19"/>
    <w:autoRedefine/>
    <w:qFormat/>
    <w:uiPriority w:val="99"/>
    <w:rPr>
      <w:sz w:val="20"/>
    </w:rPr>
  </w:style>
  <w:style w:type="paragraph" w:customStyle="1" w:styleId="186">
    <w:name w:val="TOC 标题1"/>
    <w:autoRedefine/>
    <w:unhideWhenUsed/>
    <w:qFormat/>
    <w:uiPriority w:val="39"/>
    <w:rPr>
      <w:rFonts w:ascii="Times New Roman" w:hAnsi="Times New Roman" w:eastAsia="宋体" w:cs="Times New Roman"/>
      <w:lang w:val="en-US" w:eastAsia="zh-CN" w:bidi="ar-SA"/>
    </w:rPr>
  </w:style>
  <w:style w:type="paragraph" w:customStyle="1" w:styleId="187">
    <w:name w:val="正文首行缩进 21"/>
    <w:basedOn w:val="188"/>
    <w:autoRedefine/>
    <w:qFormat/>
    <w:uiPriority w:val="0"/>
    <w:pPr>
      <w:ind w:firstLine="420"/>
    </w:pPr>
  </w:style>
  <w:style w:type="paragraph" w:customStyle="1" w:styleId="188">
    <w:name w:val="正文文本缩进1"/>
    <w:basedOn w:val="1"/>
    <w:autoRedefine/>
    <w:qFormat/>
    <w:uiPriority w:val="0"/>
    <w:pPr>
      <w:spacing w:after="120"/>
      <w:ind w:left="420"/>
    </w:pPr>
  </w:style>
  <w:style w:type="paragraph" w:customStyle="1" w:styleId="189">
    <w:name w:val="普通正文"/>
    <w:basedOn w:val="1"/>
    <w:autoRedefine/>
    <w:qFormat/>
    <w:uiPriority w:val="0"/>
    <w:pPr>
      <w:spacing w:before="120" w:after="120" w:line="360" w:lineRule="auto"/>
      <w:ind w:firstLine="480"/>
      <w:jc w:val="left"/>
    </w:pPr>
    <w:rPr>
      <w:rFonts w:ascii="Arial" w:hAnsi="Arial" w:eastAsia="等线" w:cs="Arial"/>
      <w:sz w:val="24"/>
    </w:rPr>
  </w:style>
  <w:style w:type="paragraph" w:customStyle="1" w:styleId="190">
    <w:name w:val="页脚1"/>
    <w:basedOn w:val="1"/>
    <w:autoRedefine/>
    <w:unhideWhenUsed/>
    <w:qFormat/>
    <w:uiPriority w:val="99"/>
    <w:pPr>
      <w:tabs>
        <w:tab w:val="center" w:pos="4153"/>
        <w:tab w:val="right" w:pos="8306"/>
      </w:tabs>
      <w:jc w:val="left"/>
    </w:pPr>
    <w:rPr>
      <w:sz w:val="18"/>
      <w:szCs w:val="18"/>
    </w:rPr>
  </w:style>
  <w:style w:type="paragraph" w:customStyle="1" w:styleId="191">
    <w:name w:val="纯文本1"/>
    <w:basedOn w:val="1"/>
    <w:autoRedefine/>
    <w:qFormat/>
    <w:uiPriority w:val="0"/>
    <w:rPr>
      <w:rFonts w:ascii="宋体" w:hAnsi="Courier New"/>
    </w:rPr>
  </w:style>
  <w:style w:type="paragraph" w:customStyle="1" w:styleId="192">
    <w:name w:val="!正文"/>
    <w:basedOn w:val="1"/>
    <w:autoRedefine/>
    <w:qFormat/>
    <w:uiPriority w:val="0"/>
    <w:pPr>
      <w:widowControl/>
    </w:pPr>
    <w:rPr>
      <w:szCs w:val="28"/>
    </w:rPr>
  </w:style>
  <w:style w:type="paragraph" w:customStyle="1" w:styleId="193">
    <w:name w:val="Table Paragraph"/>
    <w:basedOn w:val="1"/>
    <w:autoRedefine/>
    <w:qFormat/>
    <w:uiPriority w:val="1"/>
    <w:pPr>
      <w:jc w:val="left"/>
    </w:pPr>
    <w:rPr>
      <w:rFonts w:ascii="等线" w:hAnsi="等线" w:eastAsia="等线"/>
      <w:sz w:val="22"/>
      <w:szCs w:val="22"/>
      <w:lang w:eastAsia="en-US"/>
    </w:rPr>
  </w:style>
  <w:style w:type="paragraph" w:customStyle="1" w:styleId="194">
    <w:name w:val="标题 31"/>
    <w:basedOn w:val="1"/>
    <w:next w:val="1"/>
    <w:autoRedefine/>
    <w:qFormat/>
    <w:uiPriority w:val="0"/>
    <w:pPr>
      <w:keepNext/>
      <w:keepLines/>
      <w:widowControl/>
      <w:spacing w:line="360" w:lineRule="auto"/>
      <w:jc w:val="left"/>
      <w:outlineLvl w:val="2"/>
    </w:pPr>
    <w:rPr>
      <w:rFonts w:eastAsia="黑体"/>
    </w:rPr>
  </w:style>
  <w:style w:type="paragraph" w:customStyle="1" w:styleId="195">
    <w:name w:val="标题 21"/>
    <w:basedOn w:val="1"/>
    <w:next w:val="1"/>
    <w:autoRedefine/>
    <w:qFormat/>
    <w:uiPriority w:val="0"/>
    <w:pPr>
      <w:keepNext/>
      <w:keepLines/>
      <w:widowControl/>
      <w:tabs>
        <w:tab w:val="left" w:pos="756"/>
      </w:tabs>
      <w:spacing w:line="360" w:lineRule="auto"/>
      <w:jc w:val="left"/>
      <w:outlineLvl w:val="1"/>
    </w:pPr>
    <w:rPr>
      <w:rFonts w:eastAsia="黑体"/>
    </w:rPr>
  </w:style>
  <w:style w:type="paragraph" w:customStyle="1" w:styleId="196">
    <w:name w:val="标题 11"/>
    <w:basedOn w:val="1"/>
    <w:next w:val="1"/>
    <w:autoRedefine/>
    <w:qFormat/>
    <w:uiPriority w:val="0"/>
    <w:pPr>
      <w:keepNext/>
      <w:keepLines/>
      <w:spacing w:line="560" w:lineRule="exact"/>
      <w:ind w:firstLine="560"/>
      <w:outlineLvl w:val="0"/>
    </w:pPr>
    <w:rPr>
      <w:rFonts w:eastAsia="黑体"/>
      <w:bCs/>
      <w:szCs w:val="44"/>
    </w:rPr>
  </w:style>
  <w:style w:type="character" w:customStyle="1" w:styleId="197">
    <w:name w:val="font21"/>
    <w:basedOn w:val="34"/>
    <w:autoRedefine/>
    <w:qFormat/>
    <w:uiPriority w:val="0"/>
    <w:rPr>
      <w:rFonts w:hint="eastAsia" w:ascii="宋体" w:hAnsi="宋体" w:eastAsia="宋体" w:cs="宋体"/>
      <w:b/>
      <w:bCs/>
      <w:color w:val="000000"/>
      <w:sz w:val="22"/>
      <w:szCs w:val="22"/>
      <w:u w:val="none"/>
    </w:rPr>
  </w:style>
  <w:style w:type="character" w:customStyle="1" w:styleId="198">
    <w:name w:val="font31"/>
    <w:basedOn w:val="34"/>
    <w:autoRedefine/>
    <w:qFormat/>
    <w:uiPriority w:val="0"/>
    <w:rPr>
      <w:rFonts w:hint="eastAsia" w:ascii="宋体" w:hAnsi="宋体" w:eastAsia="宋体" w:cs="宋体"/>
      <w:color w:val="000000"/>
      <w:sz w:val="22"/>
      <w:szCs w:val="22"/>
      <w:u w:val="none"/>
    </w:rPr>
  </w:style>
  <w:style w:type="character" w:customStyle="1" w:styleId="199">
    <w:name w:val="批注文字 字符"/>
    <w:basedOn w:val="34"/>
    <w:link w:val="13"/>
    <w:autoRedefine/>
    <w:qFormat/>
    <w:uiPriority w:val="0"/>
    <w:rPr>
      <w:rFonts w:hint="default" w:ascii="Calibri" w:hAnsi="Calibri" w:eastAsia="宋体" w:cs="Times New Roman"/>
      <w:sz w:val="21"/>
      <w:szCs w:val="24"/>
    </w:rPr>
  </w:style>
  <w:style w:type="character" w:customStyle="1" w:styleId="200">
    <w:name w:val="标题 4 字符"/>
    <w:basedOn w:val="34"/>
    <w:link w:val="5"/>
    <w:autoRedefine/>
    <w:qFormat/>
    <w:uiPriority w:val="0"/>
    <w:rPr>
      <w:rFonts w:hint="default" w:ascii="Calibri Light" w:hAnsi="Calibri Light" w:eastAsia="黑体" w:cs="Times New Roman"/>
      <w:b/>
      <w:bCs/>
      <w:sz w:val="28"/>
      <w:szCs w:val="28"/>
    </w:rPr>
  </w:style>
  <w:style w:type="paragraph" w:customStyle="1" w:styleId="201">
    <w:name w:val="msolistparagraph"/>
    <w:basedOn w:val="1"/>
    <w:autoRedefine/>
    <w:qFormat/>
    <w:uiPriority w:val="0"/>
    <w:pPr>
      <w:spacing w:line="360" w:lineRule="auto"/>
      <w:ind w:firstLine="420" w:firstLineChars="200"/>
    </w:pPr>
    <w:rPr>
      <w:rFonts w:hint="eastAsia" w:ascii="等线" w:hAnsi="等线"/>
      <w:sz w:val="24"/>
      <w:szCs w:val="22"/>
    </w:rPr>
  </w:style>
  <w:style w:type="character" w:customStyle="1" w:styleId="202">
    <w:name w:val="font101"/>
    <w:basedOn w:val="34"/>
    <w:autoRedefine/>
    <w:qFormat/>
    <w:uiPriority w:val="0"/>
    <w:rPr>
      <w:rFonts w:ascii="Calibri" w:hAnsi="Calibri" w:cs="Calibri"/>
      <w:color w:val="000000"/>
      <w:sz w:val="20"/>
      <w:szCs w:val="20"/>
      <w:u w:val="none"/>
    </w:rPr>
  </w:style>
  <w:style w:type="character" w:customStyle="1" w:styleId="203">
    <w:name w:val="font41"/>
    <w:basedOn w:val="34"/>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101</Pages>
  <Words>24253</Words>
  <Characters>27384</Characters>
  <Lines>611</Lines>
  <Paragraphs>172</Paragraphs>
  <TotalTime>0</TotalTime>
  <ScaleCrop>false</ScaleCrop>
  <LinksUpToDate>false</LinksUpToDate>
  <CharactersWithSpaces>28370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2025-07-30T10:38:00Z</dcterms:created>
  <dc:creator>Administrator</dc:creator>
  <cp:lastModifiedBy>丰丰非非</cp:lastModifiedBy>
  <cp:lastPrinted>2025-09-19T01:22:00Z</cp:lastPrinted>
  <dcterms:modified xsi:type="dcterms:W3CDTF">2026-01-15T07:20:06Z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eyJoZGlkIjoiODg3ZjgxNWMxMGZmMzRiN2M4OThjOTVjNGRjMmM1MDIiLCJ1c2VySWQiOiIxMTU5NTk0NTIwIn0=</vt:lpwstr>
  </property>
  <property fmtid="{D5CDD505-2E9C-101B-9397-08002B2CF9AE}" pid="4" name="ICV">
    <vt:lpwstr>E33FC8C11929431FBCADAB3C4DAAB8C9_13</vt:lpwstr>
  </property>
</Properties>
</file>